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BE" w:rsidRPr="00F3652F" w:rsidRDefault="00443AFD" w:rsidP="00F3652F">
      <w:pPr>
        <w:jc w:val="center"/>
        <w:rPr>
          <w:b/>
          <w:sz w:val="28"/>
          <w:szCs w:val="28"/>
        </w:rPr>
      </w:pPr>
      <w:r>
        <w:rPr>
          <w:b/>
          <w:sz w:val="28"/>
          <w:szCs w:val="28"/>
        </w:rPr>
        <w:t>Προτεινόμενες λύσεις</w:t>
      </w:r>
      <w:r w:rsidR="00F3652F" w:rsidRPr="00F3652F">
        <w:rPr>
          <w:b/>
          <w:sz w:val="28"/>
          <w:szCs w:val="28"/>
        </w:rPr>
        <w:t xml:space="preserve"> ΑΟΘ Ημερησίων 2019</w:t>
      </w:r>
    </w:p>
    <w:p w:rsidR="00AF5F3E" w:rsidRDefault="00AF5F3E">
      <w:r w:rsidRPr="00AF5F3E">
        <w:rPr>
          <w:b/>
          <w:lang w:val="en-US"/>
        </w:rPr>
        <w:t>A</w:t>
      </w:r>
      <w:r w:rsidRPr="00AF5F3E">
        <w:rPr>
          <w:b/>
        </w:rPr>
        <w:t>1</w:t>
      </w:r>
      <w:r w:rsidRPr="00AF5F3E">
        <w:t>:  α</w:t>
      </w:r>
      <w:proofErr w:type="gramStart"/>
      <w:r w:rsidRPr="00AF5F3E">
        <w:t>:Λ</w:t>
      </w:r>
      <w:proofErr w:type="gramEnd"/>
      <w:r w:rsidRPr="00AF5F3E">
        <w:t>, β:Σ, γ:Λ, δ:Σ, ε:Σ</w:t>
      </w:r>
    </w:p>
    <w:p w:rsidR="00AF5F3E" w:rsidRDefault="00AF5F3E">
      <w:r w:rsidRPr="00AF5F3E">
        <w:rPr>
          <w:b/>
        </w:rPr>
        <w:t>Α2</w:t>
      </w:r>
      <w:r>
        <w:t>: β</w:t>
      </w:r>
    </w:p>
    <w:p w:rsidR="00AF5F3E" w:rsidRDefault="00AF5F3E">
      <w:r w:rsidRPr="00AF5F3E">
        <w:rPr>
          <w:b/>
        </w:rPr>
        <w:t>Α3</w:t>
      </w:r>
      <w:r>
        <w:t>: γ</w:t>
      </w:r>
    </w:p>
    <w:p w:rsidR="00AF5F3E" w:rsidRPr="006361D3" w:rsidRDefault="00AF5F3E">
      <w:r w:rsidRPr="00AF5F3E">
        <w:rPr>
          <w:b/>
        </w:rPr>
        <w:t>Β</w:t>
      </w:r>
      <w:r>
        <w:t>: σελ. 100 (σχολικό βιβλίο μαζί με το διάγραμμα)</w:t>
      </w:r>
    </w:p>
    <w:p w:rsidR="006B0623" w:rsidRPr="006B0623" w:rsidRDefault="006B0623" w:rsidP="006B0623">
      <w:pPr>
        <w:pStyle w:val="Default"/>
        <w:jc w:val="both"/>
        <w:rPr>
          <w:rFonts w:ascii="Times New Roman" w:hAnsi="Times New Roman" w:cs="Times New Roman"/>
          <w:color w:val="auto"/>
        </w:rPr>
      </w:pPr>
      <w:r w:rsidRPr="006B0623">
        <w:rPr>
          <w:rFonts w:ascii="Times New Roman" w:hAnsi="Times New Roman" w:cs="Times New Roman"/>
          <w:b/>
          <w:bCs/>
          <w:sz w:val="22"/>
          <w:szCs w:val="22"/>
        </w:rPr>
        <w:t xml:space="preserve">Β1 </w:t>
      </w:r>
      <w:r w:rsidRPr="006B0623">
        <w:rPr>
          <w:rFonts w:ascii="Times New Roman" w:hAnsi="Times New Roman" w:cs="Times New Roman"/>
          <w:sz w:val="22"/>
          <w:szCs w:val="22"/>
        </w:rPr>
        <w:t>Σκοπός του κράτους με την επιβολή ανώτατης τιμής διατίμησης σε ένα αγαθό είναι η προστασία του καταναλωτή από υπερβολική άνοδο των τιμών (κυρίως σε αγαθά πρώτης ανάγκης). Τις συνέπειες αυτής της παρέμβασης μπορούμε να μελετήσουμε στο διάγραμμα 5.7. Αν για ένα αγαθό η καμπύλη ζήτησης είναι D, η καμπύλη προσφοράς S και το σημείο τομής τους είναι το Ε, η τιμή ισορροπίας είναι Ρ</w:t>
      </w:r>
      <w:r w:rsidRPr="006B0623">
        <w:rPr>
          <w:rFonts w:ascii="Times New Roman" w:hAnsi="Times New Roman" w:cs="Times New Roman"/>
          <w:sz w:val="14"/>
          <w:szCs w:val="14"/>
        </w:rPr>
        <w:t xml:space="preserve">1 </w:t>
      </w:r>
      <w:r w:rsidRPr="006B0623">
        <w:rPr>
          <w:rFonts w:ascii="Times New Roman" w:hAnsi="Times New Roman" w:cs="Times New Roman"/>
          <w:sz w:val="22"/>
          <w:szCs w:val="22"/>
        </w:rPr>
        <w:t>και η ποσότητα ισορροπίας Q</w:t>
      </w:r>
      <w:r w:rsidRPr="006B0623">
        <w:rPr>
          <w:rFonts w:ascii="Times New Roman" w:hAnsi="Times New Roman" w:cs="Times New Roman"/>
          <w:sz w:val="14"/>
          <w:szCs w:val="14"/>
        </w:rPr>
        <w:t>1</w:t>
      </w:r>
      <w:r w:rsidRPr="006B0623">
        <w:rPr>
          <w:rFonts w:ascii="Times New Roman" w:hAnsi="Times New Roman" w:cs="Times New Roman"/>
          <w:sz w:val="22"/>
          <w:szCs w:val="22"/>
        </w:rPr>
        <w:t>. Εάν το κράτος θεωρεί την τιμή Ρ</w:t>
      </w:r>
      <w:r w:rsidRPr="006B0623">
        <w:rPr>
          <w:rFonts w:ascii="Times New Roman" w:hAnsi="Times New Roman" w:cs="Times New Roman"/>
          <w:sz w:val="14"/>
          <w:szCs w:val="14"/>
        </w:rPr>
        <w:t xml:space="preserve">1 </w:t>
      </w:r>
      <w:r w:rsidRPr="006B0623">
        <w:rPr>
          <w:rFonts w:ascii="Times New Roman" w:hAnsi="Times New Roman" w:cs="Times New Roman"/>
          <w:sz w:val="22"/>
          <w:szCs w:val="22"/>
        </w:rPr>
        <w:t>υπερβολική για το συγκεκριμένο αγαθό, γιατί, για παράδειγμα, είναι πρώτης ανάγκης και η υψηλή τιμή του θίγει τις φτωχότερες τάξεις, τότε το υπουργείο Εμπορίου με αγορανομική διάταξη επιβάλλει ανώτατη τιμή πώλησης P</w:t>
      </w:r>
      <w:r w:rsidRPr="006B0623">
        <w:rPr>
          <w:rFonts w:ascii="Times New Roman" w:hAnsi="Times New Roman" w:cs="Times New Roman"/>
          <w:sz w:val="14"/>
          <w:szCs w:val="14"/>
        </w:rPr>
        <w:t>A</w:t>
      </w:r>
      <w:r w:rsidRPr="006B0623">
        <w:rPr>
          <w:rFonts w:ascii="Times New Roman" w:hAnsi="Times New Roman" w:cs="Times New Roman"/>
          <w:sz w:val="22"/>
          <w:szCs w:val="22"/>
        </w:rPr>
        <w:t xml:space="preserve">, η οποία είναι μι- </w:t>
      </w:r>
      <w:proofErr w:type="spellStart"/>
      <w:r w:rsidRPr="006B0623">
        <w:rPr>
          <w:rFonts w:ascii="Times New Roman" w:hAnsi="Times New Roman" w:cs="Times New Roman"/>
          <w:sz w:val="22"/>
          <w:szCs w:val="22"/>
        </w:rPr>
        <w:t>κρότερη</w:t>
      </w:r>
      <w:proofErr w:type="spellEnd"/>
      <w:r w:rsidRPr="006B0623">
        <w:rPr>
          <w:rFonts w:ascii="Times New Roman" w:hAnsi="Times New Roman" w:cs="Times New Roman"/>
          <w:sz w:val="22"/>
          <w:szCs w:val="22"/>
        </w:rPr>
        <w:t xml:space="preserve"> από την τιμή ισορροπίας Ρ</w:t>
      </w:r>
      <w:r w:rsidRPr="006B0623">
        <w:rPr>
          <w:rFonts w:ascii="Times New Roman" w:hAnsi="Times New Roman" w:cs="Times New Roman"/>
          <w:sz w:val="14"/>
          <w:szCs w:val="14"/>
        </w:rPr>
        <w:t>1</w:t>
      </w:r>
      <w:r w:rsidRPr="006B0623">
        <w:rPr>
          <w:rFonts w:ascii="Times New Roman" w:hAnsi="Times New Roman" w:cs="Times New Roman"/>
          <w:sz w:val="22"/>
          <w:szCs w:val="22"/>
        </w:rPr>
        <w:t>. Στην τιμή αυτή οι παραγωγοί είναι διατεθειμένοι να προσφέρουν ποσότητα Q</w:t>
      </w:r>
      <w:r w:rsidRPr="006B0623">
        <w:rPr>
          <w:rFonts w:ascii="Times New Roman" w:hAnsi="Times New Roman" w:cs="Times New Roman"/>
          <w:sz w:val="14"/>
          <w:szCs w:val="14"/>
        </w:rPr>
        <w:t>S</w:t>
      </w:r>
      <w:r w:rsidRPr="006B0623">
        <w:rPr>
          <w:rFonts w:ascii="Times New Roman" w:hAnsi="Times New Roman" w:cs="Times New Roman"/>
          <w:sz w:val="22"/>
          <w:szCs w:val="22"/>
        </w:rPr>
        <w:t>, ενώ οι καταναλωτές ζητούν ποσότητα Q</w:t>
      </w:r>
      <w:r w:rsidRPr="006B0623">
        <w:rPr>
          <w:rFonts w:ascii="Times New Roman" w:hAnsi="Times New Roman" w:cs="Times New Roman"/>
          <w:sz w:val="14"/>
          <w:szCs w:val="14"/>
        </w:rPr>
        <w:t>D</w:t>
      </w:r>
      <w:r w:rsidRPr="006B0623">
        <w:rPr>
          <w:rFonts w:ascii="Times New Roman" w:hAnsi="Times New Roman" w:cs="Times New Roman"/>
          <w:sz w:val="22"/>
          <w:szCs w:val="22"/>
        </w:rPr>
        <w:t>. Έτσι δημιουργείται έλλειμμα ίσο με τη διαφορά Q</w:t>
      </w:r>
      <w:r w:rsidRPr="006B0623">
        <w:rPr>
          <w:rFonts w:ascii="Times New Roman" w:hAnsi="Times New Roman" w:cs="Times New Roman"/>
          <w:sz w:val="14"/>
          <w:szCs w:val="14"/>
        </w:rPr>
        <w:t xml:space="preserve">D </w:t>
      </w:r>
      <w:r w:rsidRPr="006B0623">
        <w:rPr>
          <w:rFonts w:ascii="Times New Roman" w:hAnsi="Times New Roman" w:cs="Times New Roman"/>
          <w:sz w:val="22"/>
          <w:szCs w:val="22"/>
        </w:rPr>
        <w:t>- Q</w:t>
      </w:r>
      <w:r w:rsidRPr="006B0623">
        <w:rPr>
          <w:rFonts w:ascii="Times New Roman" w:hAnsi="Times New Roman" w:cs="Times New Roman"/>
          <w:sz w:val="14"/>
          <w:szCs w:val="14"/>
        </w:rPr>
        <w:t>S</w:t>
      </w:r>
      <w:r w:rsidRPr="006B0623">
        <w:rPr>
          <w:rFonts w:ascii="Times New Roman" w:hAnsi="Times New Roman" w:cs="Times New Roman"/>
          <w:sz w:val="22"/>
          <w:szCs w:val="22"/>
        </w:rPr>
        <w:t xml:space="preserve">. </w:t>
      </w:r>
      <w:proofErr w:type="spellStart"/>
      <w:r w:rsidRPr="006B0623">
        <w:rPr>
          <w:rFonts w:ascii="Times New Roman" w:hAnsi="Times New Roman" w:cs="Times New Roman"/>
          <w:sz w:val="22"/>
          <w:szCs w:val="22"/>
        </w:rPr>
        <w:t>Αμεση</w:t>
      </w:r>
      <w:proofErr w:type="spellEnd"/>
      <w:r w:rsidRPr="006B0623">
        <w:rPr>
          <w:rFonts w:ascii="Times New Roman" w:hAnsi="Times New Roman" w:cs="Times New Roman"/>
          <w:sz w:val="22"/>
          <w:szCs w:val="22"/>
        </w:rPr>
        <w:t xml:space="preserve">, δηλαδή, συνέπεια της επιβολής ανώτατης τι- </w:t>
      </w:r>
      <w:proofErr w:type="spellStart"/>
      <w:r w:rsidRPr="006B0623">
        <w:rPr>
          <w:rFonts w:ascii="Times New Roman" w:hAnsi="Times New Roman" w:cs="Times New Roman"/>
          <w:sz w:val="22"/>
          <w:szCs w:val="22"/>
        </w:rPr>
        <w:t>μής</w:t>
      </w:r>
      <w:proofErr w:type="spellEnd"/>
      <w:r w:rsidRPr="006B0623">
        <w:rPr>
          <w:rFonts w:ascii="Times New Roman" w:hAnsi="Times New Roman" w:cs="Times New Roman"/>
          <w:sz w:val="22"/>
          <w:szCs w:val="22"/>
        </w:rPr>
        <w:t xml:space="preserve"> είναι η εμφάνιση ελλειμμάτων. Στην περίπτωση αυτή γνωρίζουμε ότι στην αγορά του αγαθού υπάρχει ανισορροπία και τάσεις για άνοδο της τιμής. Εφόσον η τιμή δεν μπορεί να αυξηθεί λόγω της κρατικής παρέμβασης, δεν πρόκειται να υπάρξει ισορροπία στην αγορά του αγαθού. Αν το κράτος έχει τον απόλυτο έλεγχο της προσφερόμενης ποσότητας, </w:t>
      </w:r>
      <w:proofErr w:type="spellStart"/>
      <w:r w:rsidRPr="006B0623">
        <w:rPr>
          <w:rFonts w:ascii="Times New Roman" w:hAnsi="Times New Roman" w:cs="Times New Roman"/>
          <w:sz w:val="22"/>
          <w:szCs w:val="22"/>
        </w:rPr>
        <w:t>μπο</w:t>
      </w:r>
      <w:proofErr w:type="spellEnd"/>
      <w:r w:rsidRPr="006B0623">
        <w:rPr>
          <w:rFonts w:ascii="Times New Roman" w:hAnsi="Times New Roman" w:cs="Times New Roman"/>
          <w:sz w:val="22"/>
          <w:szCs w:val="22"/>
        </w:rPr>
        <w:t xml:space="preserve">- </w:t>
      </w:r>
      <w:proofErr w:type="spellStart"/>
      <w:r w:rsidRPr="006B0623">
        <w:rPr>
          <w:rFonts w:ascii="Times New Roman" w:hAnsi="Times New Roman" w:cs="Times New Roman"/>
          <w:sz w:val="22"/>
          <w:szCs w:val="22"/>
        </w:rPr>
        <w:t>ρεί</w:t>
      </w:r>
      <w:proofErr w:type="spellEnd"/>
      <w:r w:rsidRPr="006B0623">
        <w:rPr>
          <w:rFonts w:ascii="Times New Roman" w:hAnsi="Times New Roman" w:cs="Times New Roman"/>
          <w:sz w:val="22"/>
          <w:szCs w:val="22"/>
        </w:rPr>
        <w:t xml:space="preserve"> να διανέμει το αγαθό με δελτία και σε περιορισμένες ποσότητες για κάθε άτομο. Μπορεί επίσης να το διανέμει με σειρά προτεραιότητας, που σημαίνει ουρές στα καταστήματα που το πωλούν. Αυτό που συνήθως συμβαίνει είναι η δημιουργία "μαύρης αγοράς", δηλαδή το αγαθό πωλείται παράνομα σε τιμή μεγαλύτερη από τη νόμιμη. Στο διάγραμμα 5.7 βλέπουμε ότι την ποσότητα </w:t>
      </w:r>
      <w:proofErr w:type="spellStart"/>
      <w:r w:rsidRPr="006B0623">
        <w:rPr>
          <w:rFonts w:ascii="Times New Roman" w:hAnsi="Times New Roman" w:cs="Times New Roman"/>
          <w:sz w:val="22"/>
          <w:szCs w:val="22"/>
        </w:rPr>
        <w:t>Qs</w:t>
      </w:r>
      <w:proofErr w:type="spellEnd"/>
      <w:r w:rsidRPr="006B0623">
        <w:rPr>
          <w:rFonts w:ascii="Times New Roman" w:hAnsi="Times New Roman" w:cs="Times New Roman"/>
          <w:sz w:val="22"/>
          <w:szCs w:val="22"/>
        </w:rPr>
        <w:t xml:space="preserve">, που προσφέρουν οι παραγωγοί, υπάρχουν καταναλωτές που είναι </w:t>
      </w:r>
    </w:p>
    <w:p w:rsidR="00EF15A9" w:rsidRPr="00EF15A9" w:rsidRDefault="006B0623" w:rsidP="006B0623">
      <w:pPr>
        <w:jc w:val="both"/>
        <w:rPr>
          <w:rFonts w:ascii="Times New Roman" w:hAnsi="Times New Roman" w:cs="Times New Roman"/>
        </w:rPr>
      </w:pPr>
      <w:r w:rsidRPr="006B0623">
        <w:rPr>
          <w:rFonts w:ascii="Times New Roman" w:hAnsi="Times New Roman" w:cs="Times New Roman"/>
        </w:rPr>
        <w:t>δια</w:t>
      </w:r>
      <w:r w:rsidRPr="006B0623">
        <w:rPr>
          <w:rFonts w:ascii="Times New Roman" w:hAnsi="Times New Roman" w:cs="Times New Roman"/>
        </w:rPr>
        <w:t>τεθειμένοι να την πληρώσουν στην τιμή Ρ</w:t>
      </w:r>
      <w:r w:rsidRPr="006B0623">
        <w:rPr>
          <w:rFonts w:ascii="Times New Roman" w:hAnsi="Times New Roman" w:cs="Times New Roman"/>
          <w:sz w:val="14"/>
          <w:szCs w:val="14"/>
        </w:rPr>
        <w:t>2</w:t>
      </w:r>
      <w:r w:rsidRPr="006B0623">
        <w:rPr>
          <w:rFonts w:ascii="Times New Roman" w:hAnsi="Times New Roman" w:cs="Times New Roman"/>
        </w:rPr>
        <w:t>. Αυτό δίνει τη δυνατότητα στους πωλητές να πωλούν με "καπέλο" πάνω από την ανώτατη τιμή. Το ύψος του καπέλου μπορεί να φτάσει μέχρι τη διαφορά Ρ</w:t>
      </w:r>
      <w:r w:rsidRPr="006B0623">
        <w:rPr>
          <w:rFonts w:ascii="Times New Roman" w:hAnsi="Times New Roman" w:cs="Times New Roman"/>
          <w:sz w:val="14"/>
          <w:szCs w:val="14"/>
        </w:rPr>
        <w:t xml:space="preserve">2 </w:t>
      </w:r>
      <w:r w:rsidRPr="006B0623">
        <w:rPr>
          <w:rFonts w:ascii="Times New Roman" w:hAnsi="Times New Roman" w:cs="Times New Roman"/>
        </w:rPr>
        <w:t>- Ρ</w:t>
      </w:r>
      <w:r w:rsidRPr="006B0623">
        <w:rPr>
          <w:rFonts w:ascii="Times New Roman" w:hAnsi="Times New Roman" w:cs="Times New Roman"/>
          <w:sz w:val="14"/>
          <w:szCs w:val="14"/>
        </w:rPr>
        <w:t>Α</w:t>
      </w:r>
      <w:r w:rsidRPr="006B0623">
        <w:rPr>
          <w:rFonts w:ascii="Times New Roman" w:hAnsi="Times New Roman" w:cs="Times New Roman"/>
        </w:rPr>
        <w:t>.</w:t>
      </w:r>
      <w:r w:rsidR="00EF15A9">
        <w:rPr>
          <w:rFonts w:ascii="Times New Roman" w:hAnsi="Times New Roman" w:cs="Times New Roman"/>
        </w:rPr>
        <w:t xml:space="preserve"> </w:t>
      </w:r>
      <w:r w:rsidR="00EF15A9" w:rsidRPr="00EF15A9">
        <w:rPr>
          <w:rFonts w:ascii="Times New Roman" w:hAnsi="Times New Roman" w:cs="Times New Roman"/>
        </w:rPr>
        <w:t xml:space="preserve">Με την επιβολή ανώτατης τιμής μπορεί να ανατρέπεται η ισορροπία στην αγορά και να δημιουργούνται ελλείμματα και παράνομες αγορές. Αυτό δε σημαίνει ότι το κράτος δεν πρέπει να παρεμβαίνει στη λειτουργία της αγοράς, όπως αναφέρθηκε πιο πάνω. Η </w:t>
      </w:r>
      <w:proofErr w:type="spellStart"/>
      <w:r w:rsidR="00EF15A9" w:rsidRPr="00EF15A9">
        <w:rPr>
          <w:rFonts w:ascii="Times New Roman" w:hAnsi="Times New Roman" w:cs="Times New Roman"/>
        </w:rPr>
        <w:t>επι</w:t>
      </w:r>
      <w:proofErr w:type="spellEnd"/>
      <w:r w:rsidR="00EF15A9" w:rsidRPr="00EF15A9">
        <w:rPr>
          <w:rFonts w:ascii="Times New Roman" w:hAnsi="Times New Roman" w:cs="Times New Roman"/>
        </w:rPr>
        <w:t>- βολή ανώτατης τιμής πρέπει να είναι βραχυχρόνια, για να αποφεύγεται η "μαύρη αγορά".</w:t>
      </w:r>
    </w:p>
    <w:p w:rsidR="006B0623" w:rsidRDefault="006B0623" w:rsidP="006B0623">
      <w:r>
        <w:rPr>
          <w:noProof/>
          <w:lang w:eastAsia="el-GR"/>
        </w:rPr>
        <w:drawing>
          <wp:inline distT="0" distB="0" distL="0" distR="0">
            <wp:extent cx="4148031" cy="187642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1878628"/>
                    </a:xfrm>
                    <a:prstGeom prst="rect">
                      <a:avLst/>
                    </a:prstGeom>
                    <a:noFill/>
                    <a:ln>
                      <a:noFill/>
                    </a:ln>
                  </pic:spPr>
                </pic:pic>
              </a:graphicData>
            </a:graphic>
          </wp:inline>
        </w:drawing>
      </w:r>
    </w:p>
    <w:p w:rsidR="006B0623" w:rsidRPr="006B0623" w:rsidRDefault="006B0623" w:rsidP="006B0623"/>
    <w:p w:rsidR="006B0623" w:rsidRDefault="006B0623">
      <w:pPr>
        <w:rPr>
          <w:b/>
        </w:rPr>
      </w:pPr>
    </w:p>
    <w:p w:rsidR="00AF5F3E" w:rsidRPr="00B9494E" w:rsidRDefault="00AF5F3E">
      <w:r w:rsidRPr="00AF5F3E">
        <w:rPr>
          <w:b/>
        </w:rPr>
        <w:lastRenderedPageBreak/>
        <w:t>Γ:</w:t>
      </w:r>
      <w:r>
        <w:rPr>
          <w:b/>
        </w:rPr>
        <w:t xml:space="preserve"> </w:t>
      </w:r>
      <w:r>
        <w:t xml:space="preserve">Πρόκειται για ταυτόχρονη μεταβολή του εισοδήματος και της τιμής. </w:t>
      </w:r>
    </w:p>
    <w:p w:rsidR="00473282" w:rsidRPr="00473282" w:rsidRDefault="00473282">
      <w:pPr>
        <w:rPr>
          <w:b/>
          <w:lang w:val="en-US"/>
        </w:rPr>
      </w:pPr>
      <w:r w:rsidRPr="00473282">
        <w:rPr>
          <w:b/>
        </w:rPr>
        <w:t>Γ</w:t>
      </w:r>
      <w:r w:rsidRPr="00473282">
        <w:rPr>
          <w:b/>
          <w:lang w:val="en-US"/>
        </w:rPr>
        <w:t>1</w:t>
      </w:r>
    </w:p>
    <w:tbl>
      <w:tblPr>
        <w:tblStyle w:val="TableGrid"/>
        <w:tblW w:w="0" w:type="auto"/>
        <w:tblLayout w:type="fixed"/>
        <w:tblLook w:val="04A0" w:firstRow="1" w:lastRow="0" w:firstColumn="1" w:lastColumn="0" w:noHBand="0" w:noVBand="1"/>
      </w:tblPr>
      <w:tblGrid>
        <w:gridCol w:w="675"/>
        <w:gridCol w:w="567"/>
        <w:gridCol w:w="1134"/>
        <w:gridCol w:w="709"/>
        <w:gridCol w:w="851"/>
        <w:gridCol w:w="850"/>
      </w:tblGrid>
      <w:tr w:rsidR="00AF5F3E" w:rsidRPr="00AF5F3E" w:rsidTr="00473282">
        <w:tc>
          <w:tcPr>
            <w:tcW w:w="675" w:type="dxa"/>
          </w:tcPr>
          <w:p w:rsidR="00AF5F3E" w:rsidRPr="00AF5F3E" w:rsidRDefault="00AF5F3E">
            <w:pPr>
              <w:rPr>
                <w:b/>
                <w:lang w:val="en-US"/>
              </w:rPr>
            </w:pPr>
          </w:p>
        </w:tc>
        <w:tc>
          <w:tcPr>
            <w:tcW w:w="567" w:type="dxa"/>
          </w:tcPr>
          <w:p w:rsidR="00AF5F3E" w:rsidRPr="00AF5F3E" w:rsidRDefault="00AF5F3E">
            <w:pPr>
              <w:rPr>
                <w:b/>
                <w:lang w:val="en-US"/>
              </w:rPr>
            </w:pPr>
            <w:r w:rsidRPr="00AF5F3E">
              <w:rPr>
                <w:b/>
                <w:lang w:val="en-US"/>
              </w:rPr>
              <w:t>P</w:t>
            </w:r>
          </w:p>
        </w:tc>
        <w:tc>
          <w:tcPr>
            <w:tcW w:w="1134" w:type="dxa"/>
          </w:tcPr>
          <w:p w:rsidR="00AF5F3E" w:rsidRPr="00AF5F3E" w:rsidRDefault="00AF5F3E">
            <w:pPr>
              <w:rPr>
                <w:b/>
                <w:lang w:val="en-US"/>
              </w:rPr>
            </w:pPr>
            <w:proofErr w:type="spellStart"/>
            <w:r w:rsidRPr="00AF5F3E">
              <w:rPr>
                <w:b/>
                <w:lang w:val="en-US"/>
              </w:rPr>
              <w:t>Qd</w:t>
            </w:r>
            <w:proofErr w:type="spellEnd"/>
          </w:p>
        </w:tc>
        <w:tc>
          <w:tcPr>
            <w:tcW w:w="709" w:type="dxa"/>
          </w:tcPr>
          <w:p w:rsidR="00AF5F3E" w:rsidRPr="00AF5F3E" w:rsidRDefault="00AF5F3E">
            <w:pPr>
              <w:rPr>
                <w:b/>
                <w:lang w:val="en-US"/>
              </w:rPr>
            </w:pPr>
            <w:r w:rsidRPr="00AF5F3E">
              <w:rPr>
                <w:b/>
                <w:lang w:val="en-US"/>
              </w:rPr>
              <w:t>Y</w:t>
            </w:r>
          </w:p>
        </w:tc>
        <w:tc>
          <w:tcPr>
            <w:tcW w:w="851" w:type="dxa"/>
          </w:tcPr>
          <w:p w:rsidR="00AF5F3E" w:rsidRPr="00AF5F3E" w:rsidRDefault="00AF5F3E">
            <w:pPr>
              <w:rPr>
                <w:b/>
                <w:lang w:val="en-US"/>
              </w:rPr>
            </w:pPr>
            <w:r w:rsidRPr="00AF5F3E">
              <w:rPr>
                <w:b/>
                <w:lang w:val="en-US"/>
              </w:rPr>
              <w:t>Ed</w:t>
            </w:r>
          </w:p>
        </w:tc>
        <w:tc>
          <w:tcPr>
            <w:tcW w:w="850" w:type="dxa"/>
          </w:tcPr>
          <w:p w:rsidR="00AF5F3E" w:rsidRPr="00AF5F3E" w:rsidRDefault="00AF5F3E">
            <w:pPr>
              <w:rPr>
                <w:b/>
                <w:lang w:val="en-US"/>
              </w:rPr>
            </w:pPr>
            <w:proofErr w:type="spellStart"/>
            <w:r w:rsidRPr="00AF5F3E">
              <w:rPr>
                <w:b/>
                <w:lang w:val="en-US"/>
              </w:rPr>
              <w:t>Ey</w:t>
            </w:r>
            <w:proofErr w:type="spellEnd"/>
          </w:p>
        </w:tc>
      </w:tr>
      <w:tr w:rsidR="00AF5F3E" w:rsidTr="00473282">
        <w:tc>
          <w:tcPr>
            <w:tcW w:w="675" w:type="dxa"/>
          </w:tcPr>
          <w:p w:rsidR="00AF5F3E" w:rsidRPr="00AF5F3E" w:rsidRDefault="00AF5F3E">
            <w:pPr>
              <w:rPr>
                <w:lang w:val="en-US"/>
              </w:rPr>
            </w:pPr>
            <w:r>
              <w:rPr>
                <w:lang w:val="en-US"/>
              </w:rPr>
              <w:t>A</w:t>
            </w:r>
          </w:p>
        </w:tc>
        <w:tc>
          <w:tcPr>
            <w:tcW w:w="567" w:type="dxa"/>
          </w:tcPr>
          <w:p w:rsidR="00AF5F3E" w:rsidRPr="00AF5F3E" w:rsidRDefault="00AF5F3E">
            <w:pPr>
              <w:rPr>
                <w:lang w:val="en-US"/>
              </w:rPr>
            </w:pPr>
            <w:r>
              <w:rPr>
                <w:lang w:val="en-US"/>
              </w:rPr>
              <w:t>P1</w:t>
            </w:r>
          </w:p>
        </w:tc>
        <w:tc>
          <w:tcPr>
            <w:tcW w:w="1134" w:type="dxa"/>
          </w:tcPr>
          <w:p w:rsidR="00AF5F3E" w:rsidRPr="00473282" w:rsidRDefault="00473282">
            <w:r>
              <w:t>200</w:t>
            </w:r>
          </w:p>
        </w:tc>
        <w:tc>
          <w:tcPr>
            <w:tcW w:w="709" w:type="dxa"/>
          </w:tcPr>
          <w:p w:rsidR="00AF5F3E" w:rsidRDefault="00AF5F3E">
            <w:pPr>
              <w:rPr>
                <w:lang w:val="en-US"/>
              </w:rPr>
            </w:pPr>
            <w:r>
              <w:rPr>
                <w:lang w:val="en-US"/>
              </w:rPr>
              <w:t>Y1</w:t>
            </w:r>
          </w:p>
        </w:tc>
        <w:tc>
          <w:tcPr>
            <w:tcW w:w="851" w:type="dxa"/>
          </w:tcPr>
          <w:p w:rsidR="00AF5F3E" w:rsidRDefault="00AF5F3E">
            <w:pPr>
              <w:rPr>
                <w:lang w:val="en-US"/>
              </w:rPr>
            </w:pPr>
          </w:p>
        </w:tc>
        <w:tc>
          <w:tcPr>
            <w:tcW w:w="850" w:type="dxa"/>
          </w:tcPr>
          <w:p w:rsidR="00AF5F3E" w:rsidRDefault="00AF5F3E">
            <w:pPr>
              <w:rPr>
                <w:lang w:val="en-US"/>
              </w:rPr>
            </w:pPr>
          </w:p>
        </w:tc>
      </w:tr>
      <w:tr w:rsidR="00AF5F3E" w:rsidTr="00473282">
        <w:tc>
          <w:tcPr>
            <w:tcW w:w="675" w:type="dxa"/>
          </w:tcPr>
          <w:p w:rsidR="00AF5F3E" w:rsidRDefault="00AF5F3E">
            <w:pPr>
              <w:rPr>
                <w:lang w:val="en-US"/>
              </w:rPr>
            </w:pPr>
            <w:r>
              <w:rPr>
                <w:lang w:val="en-US"/>
              </w:rPr>
              <w:t>B</w:t>
            </w:r>
          </w:p>
        </w:tc>
        <w:tc>
          <w:tcPr>
            <w:tcW w:w="567" w:type="dxa"/>
          </w:tcPr>
          <w:p w:rsidR="00AF5F3E" w:rsidRDefault="00AF5F3E" w:rsidP="00AF5F3E">
            <w:pPr>
              <w:rPr>
                <w:lang w:val="en-US"/>
              </w:rPr>
            </w:pPr>
            <w:r>
              <w:rPr>
                <w:lang w:val="en-US"/>
              </w:rPr>
              <w:t>P1</w:t>
            </w:r>
          </w:p>
        </w:tc>
        <w:tc>
          <w:tcPr>
            <w:tcW w:w="1134" w:type="dxa"/>
          </w:tcPr>
          <w:p w:rsidR="00AF5F3E" w:rsidRPr="00473282" w:rsidRDefault="00AF5F3E">
            <w:r>
              <w:rPr>
                <w:lang w:val="en-US"/>
              </w:rPr>
              <w:t>Q2</w:t>
            </w:r>
            <w:r w:rsidR="00473282">
              <w:t>=400</w:t>
            </w:r>
          </w:p>
        </w:tc>
        <w:tc>
          <w:tcPr>
            <w:tcW w:w="709" w:type="dxa"/>
          </w:tcPr>
          <w:p w:rsidR="00AF5F3E" w:rsidRDefault="00AF5F3E">
            <w:pPr>
              <w:rPr>
                <w:lang w:val="en-US"/>
              </w:rPr>
            </w:pPr>
            <w:r>
              <w:rPr>
                <w:lang w:val="en-US"/>
              </w:rPr>
              <w:t>Y2</w:t>
            </w:r>
          </w:p>
        </w:tc>
        <w:tc>
          <w:tcPr>
            <w:tcW w:w="851" w:type="dxa"/>
          </w:tcPr>
          <w:p w:rsidR="00AF5F3E" w:rsidRDefault="00AF5F3E">
            <w:pPr>
              <w:rPr>
                <w:lang w:val="en-US"/>
              </w:rPr>
            </w:pPr>
          </w:p>
        </w:tc>
        <w:tc>
          <w:tcPr>
            <w:tcW w:w="850" w:type="dxa"/>
          </w:tcPr>
          <w:p w:rsidR="00AF5F3E" w:rsidRDefault="00AF5F3E">
            <w:pPr>
              <w:rPr>
                <w:lang w:val="en-US"/>
              </w:rPr>
            </w:pPr>
            <w:r>
              <w:rPr>
                <w:lang w:val="en-US"/>
              </w:rPr>
              <w:t>5</w:t>
            </w:r>
          </w:p>
        </w:tc>
      </w:tr>
      <w:tr w:rsidR="00AF5F3E" w:rsidTr="00473282">
        <w:tc>
          <w:tcPr>
            <w:tcW w:w="675" w:type="dxa"/>
          </w:tcPr>
          <w:p w:rsidR="00AF5F3E" w:rsidRPr="00AF5F3E" w:rsidRDefault="00AF5F3E">
            <w:r>
              <w:t>Γ</w:t>
            </w:r>
          </w:p>
        </w:tc>
        <w:tc>
          <w:tcPr>
            <w:tcW w:w="567" w:type="dxa"/>
          </w:tcPr>
          <w:p w:rsidR="00AF5F3E" w:rsidRDefault="00AF5F3E">
            <w:pPr>
              <w:rPr>
                <w:lang w:val="en-US"/>
              </w:rPr>
            </w:pPr>
            <w:r>
              <w:rPr>
                <w:lang w:val="en-US"/>
              </w:rPr>
              <w:t>P2</w:t>
            </w:r>
          </w:p>
        </w:tc>
        <w:tc>
          <w:tcPr>
            <w:tcW w:w="1134" w:type="dxa"/>
          </w:tcPr>
          <w:p w:rsidR="00AF5F3E" w:rsidRDefault="00AF5F3E">
            <w:pPr>
              <w:rPr>
                <w:lang w:val="en-US"/>
              </w:rPr>
            </w:pPr>
            <w:r>
              <w:rPr>
                <w:lang w:val="en-US"/>
              </w:rPr>
              <w:t>Q3</w:t>
            </w:r>
          </w:p>
        </w:tc>
        <w:tc>
          <w:tcPr>
            <w:tcW w:w="709" w:type="dxa"/>
          </w:tcPr>
          <w:p w:rsidR="00AF5F3E" w:rsidRDefault="00AF5F3E">
            <w:pPr>
              <w:rPr>
                <w:lang w:val="en-US"/>
              </w:rPr>
            </w:pPr>
            <w:r>
              <w:rPr>
                <w:lang w:val="en-US"/>
              </w:rPr>
              <w:t>Y2</w:t>
            </w:r>
          </w:p>
        </w:tc>
        <w:tc>
          <w:tcPr>
            <w:tcW w:w="851" w:type="dxa"/>
          </w:tcPr>
          <w:p w:rsidR="00AF5F3E" w:rsidRDefault="00AF5F3E">
            <w:pPr>
              <w:rPr>
                <w:lang w:val="en-US"/>
              </w:rPr>
            </w:pPr>
            <w:r>
              <w:rPr>
                <w:lang w:val="en-US"/>
              </w:rPr>
              <w:t>-0.5</w:t>
            </w:r>
          </w:p>
        </w:tc>
        <w:tc>
          <w:tcPr>
            <w:tcW w:w="850" w:type="dxa"/>
          </w:tcPr>
          <w:p w:rsidR="00AF5F3E" w:rsidRDefault="00AF5F3E">
            <w:pPr>
              <w:rPr>
                <w:lang w:val="en-US"/>
              </w:rPr>
            </w:pPr>
          </w:p>
        </w:tc>
      </w:tr>
    </w:tbl>
    <w:p w:rsidR="00AF5F3E" w:rsidRDefault="00AF5F3E">
      <w:pPr>
        <w:rPr>
          <w:lang w:val="en-US"/>
        </w:rPr>
      </w:pPr>
    </w:p>
    <w:p w:rsidR="00AF5F3E" w:rsidRPr="00473282" w:rsidRDefault="00AF5F3E">
      <w:pPr>
        <w:rPr>
          <w:i/>
        </w:rPr>
      </w:pPr>
      <m:oMathPara>
        <m:oMath>
          <m:r>
            <w:rPr>
              <w:rFonts w:ascii="Cambria Math" w:hAnsi="Cambria Math"/>
              <w:lang w:val="en-US"/>
            </w:rPr>
            <m:t xml:space="preserve">Ey=5= </m:t>
          </m:r>
          <m:f>
            <m:fPr>
              <m:ctrlPr>
                <w:rPr>
                  <w:rFonts w:ascii="Cambria Math" w:hAnsi="Cambria Math"/>
                  <w:lang w:val="en-US"/>
                </w:rPr>
              </m:ctrlPr>
            </m:fPr>
            <m:num>
              <m:r>
                <w:rPr>
                  <w:rFonts w:ascii="Cambria Math" w:hAnsi="Cambria Math"/>
                </w:rPr>
                <m:t>Δ</m:t>
              </m:r>
              <m:r>
                <w:rPr>
                  <w:rFonts w:ascii="Cambria Math" w:hAnsi="Cambria Math"/>
                  <w:lang w:val="en-US"/>
                </w:rPr>
                <m:t>Q%</m:t>
              </m:r>
            </m:num>
            <m:den>
              <m:r>
                <w:rPr>
                  <w:rFonts w:ascii="Cambria Math" w:hAnsi="Cambria Math"/>
                </w:rPr>
                <m:t>Δ</m:t>
              </m:r>
              <m:r>
                <w:rPr>
                  <w:rFonts w:ascii="Cambria Math" w:hAnsi="Cambria Math"/>
                  <w:lang w:val="en-US"/>
                </w:rPr>
                <m:t>Y%</m:t>
              </m:r>
            </m:den>
          </m:f>
          <m:r>
            <w:rPr>
              <w:rFonts w:ascii="Cambria Math" w:hAnsi="Cambria Math"/>
              <w:lang w:val="en-US"/>
            </w:rPr>
            <m:t xml:space="preserve">= </m:t>
          </m:r>
          <m:f>
            <m:fPr>
              <m:ctrlPr>
                <w:rPr>
                  <w:rFonts w:ascii="Cambria Math" w:hAnsi="Cambria Math"/>
                  <w:lang w:val="en-US"/>
                </w:rPr>
              </m:ctrlPr>
            </m:fPr>
            <m:num>
              <m:r>
                <w:rPr>
                  <w:rFonts w:ascii="Cambria Math" w:hAnsi="Cambria Math"/>
                </w:rPr>
                <m:t>Δ</m:t>
              </m:r>
              <m:r>
                <w:rPr>
                  <w:rFonts w:ascii="Cambria Math" w:hAnsi="Cambria Math"/>
                  <w:lang w:val="en-US"/>
                </w:rPr>
                <m:t>Q%</m:t>
              </m:r>
            </m:num>
            <m:den>
              <m:r>
                <w:rPr>
                  <w:rFonts w:ascii="Cambria Math" w:hAnsi="Cambria Math"/>
                </w:rPr>
                <m:t>20</m:t>
              </m:r>
              <m:r>
                <w:rPr>
                  <w:rFonts w:ascii="Cambria Math" w:hAnsi="Cambria Math"/>
                  <w:lang w:val="en-US"/>
                </w:rPr>
                <m:t>%</m:t>
              </m:r>
            </m:den>
          </m:f>
          <m:r>
            <w:rPr>
              <w:rFonts w:ascii="Cambria Math" w:hAnsi="Cambria Math"/>
              <w:lang w:val="en-US"/>
            </w:rPr>
            <m:t>….</m:t>
          </m:r>
          <m:r>
            <w:rPr>
              <w:rFonts w:ascii="Cambria Math" w:hAnsi="Cambria Math"/>
            </w:rPr>
            <m:t>Δ</m:t>
          </m:r>
          <m:r>
            <w:rPr>
              <w:rFonts w:ascii="Cambria Math" w:hAnsi="Cambria Math"/>
              <w:lang w:val="en-US"/>
            </w:rPr>
            <m:t>Q</m:t>
          </m:r>
          <m:r>
            <w:rPr>
              <w:rFonts w:ascii="Cambria Math" w:hAnsi="Cambria Math"/>
            </w:rPr>
            <m:t>%=100%</m:t>
          </m:r>
        </m:oMath>
      </m:oMathPara>
    </w:p>
    <w:p w:rsidR="00473282" w:rsidRPr="00B9494E" w:rsidRDefault="00473282">
      <w:r w:rsidRPr="00473282">
        <w:t xml:space="preserve">Άρα: διπλασιάζεται το </w:t>
      </w:r>
      <w:r w:rsidRPr="00473282">
        <w:rPr>
          <w:lang w:val="en-US"/>
        </w:rPr>
        <w:t>Q</w:t>
      </w:r>
      <w:r w:rsidRPr="00473282">
        <w:t xml:space="preserve">. </w:t>
      </w:r>
      <w:r>
        <w:rPr>
          <w:lang w:val="en-US"/>
        </w:rPr>
        <w:t>Q</w:t>
      </w:r>
      <w:r w:rsidRPr="00473282">
        <w:t>2</w:t>
      </w:r>
      <w:r>
        <w:t>=400</w:t>
      </w:r>
    </w:p>
    <w:p w:rsidR="00473282" w:rsidRPr="00473282" w:rsidRDefault="00473282">
      <w:pPr>
        <w:rPr>
          <w:lang w:val="en-US"/>
        </w:rPr>
      </w:pPr>
      <m:oMathPara>
        <m:oMath>
          <m:r>
            <w:rPr>
              <w:rFonts w:ascii="Cambria Math" w:hAnsi="Cambria Math"/>
              <w:lang w:val="en-US"/>
            </w:rPr>
            <m:t xml:space="preserve">Ed=-0.5= </m:t>
          </m:r>
          <m:f>
            <m:fPr>
              <m:ctrlPr>
                <w:rPr>
                  <w:rFonts w:ascii="Cambria Math" w:hAnsi="Cambria Math"/>
                  <w:lang w:val="en-US"/>
                </w:rPr>
              </m:ctrlPr>
            </m:fPr>
            <m:num>
              <m:r>
                <w:rPr>
                  <w:rFonts w:ascii="Cambria Math" w:hAnsi="Cambria Math"/>
                </w:rPr>
                <m:t>Δ</m:t>
              </m:r>
              <m:r>
                <w:rPr>
                  <w:rFonts w:ascii="Cambria Math" w:hAnsi="Cambria Math"/>
                  <w:lang w:val="en-US"/>
                </w:rPr>
                <m:t>Q%</m:t>
              </m:r>
            </m:num>
            <m:den>
              <m:r>
                <w:rPr>
                  <w:rFonts w:ascii="Cambria Math" w:hAnsi="Cambria Math"/>
                </w:rPr>
                <m:t>Δ</m:t>
              </m:r>
              <m:r>
                <w:rPr>
                  <w:rFonts w:ascii="Cambria Math" w:hAnsi="Cambria Math"/>
                  <w:lang w:val="en-US"/>
                </w:rPr>
                <m:t>P%</m:t>
              </m:r>
            </m:den>
          </m:f>
          <m:r>
            <w:rPr>
              <w:rFonts w:ascii="Cambria Math" w:hAnsi="Cambria Math"/>
              <w:lang w:val="en-US"/>
            </w:rPr>
            <m:t xml:space="preserve">= </m:t>
          </m:r>
          <m:f>
            <m:fPr>
              <m:ctrlPr>
                <w:rPr>
                  <w:rFonts w:ascii="Cambria Math" w:hAnsi="Cambria Math"/>
                  <w:lang w:val="en-US"/>
                </w:rPr>
              </m:ctrlPr>
            </m:fPr>
            <m:num>
              <m:r>
                <w:rPr>
                  <w:rFonts w:ascii="Cambria Math" w:hAnsi="Cambria Math"/>
                </w:rPr>
                <m:t>Δ</m:t>
              </m:r>
              <m:r>
                <w:rPr>
                  <w:rFonts w:ascii="Cambria Math" w:hAnsi="Cambria Math"/>
                  <w:lang w:val="en-US"/>
                </w:rPr>
                <m:t>Q%</m:t>
              </m:r>
            </m:num>
            <m:den>
              <m:r>
                <w:rPr>
                  <w:rFonts w:ascii="Cambria Math" w:hAnsi="Cambria Math"/>
                </w:rPr>
                <m:t>20</m:t>
              </m:r>
              <m:r>
                <w:rPr>
                  <w:rFonts w:ascii="Cambria Math" w:hAnsi="Cambria Math"/>
                  <w:lang w:val="en-US"/>
                </w:rPr>
                <m:t>%</m:t>
              </m:r>
            </m:den>
          </m:f>
          <m:r>
            <w:rPr>
              <w:rFonts w:ascii="Cambria Math" w:hAnsi="Cambria Math"/>
              <w:lang w:val="en-US"/>
            </w:rPr>
            <m:t>….</m:t>
          </m:r>
          <m:r>
            <w:rPr>
              <w:rFonts w:ascii="Cambria Math" w:hAnsi="Cambria Math"/>
            </w:rPr>
            <m:t>Δ</m:t>
          </m:r>
          <m:r>
            <w:rPr>
              <w:rFonts w:ascii="Cambria Math" w:hAnsi="Cambria Math"/>
              <w:lang w:val="en-US"/>
            </w:rPr>
            <m:t>Q</m:t>
          </m:r>
          <m:r>
            <w:rPr>
              <w:rFonts w:ascii="Cambria Math" w:hAnsi="Cambria Math"/>
            </w:rPr>
            <m:t>%=-10%</m:t>
          </m:r>
        </m:oMath>
      </m:oMathPara>
    </w:p>
    <w:p w:rsidR="00473282" w:rsidRPr="00473282" w:rsidRDefault="00473282" w:rsidP="00473282">
      <w:pPr>
        <w:rPr>
          <w:b/>
        </w:rPr>
      </w:pPr>
      <w:r w:rsidRPr="00473282">
        <w:rPr>
          <w:b/>
        </w:rPr>
        <w:t xml:space="preserve">Άρα το </w:t>
      </w:r>
      <w:r w:rsidRPr="00473282">
        <w:rPr>
          <w:b/>
          <w:lang w:val="en-US"/>
        </w:rPr>
        <w:t>Q</w:t>
      </w:r>
      <w:r w:rsidRPr="00473282">
        <w:rPr>
          <w:b/>
        </w:rPr>
        <w:t xml:space="preserve">2 μειώνεται κατά 10%, δηλαδή γίνεται </w:t>
      </w:r>
      <w:r w:rsidRPr="00473282">
        <w:rPr>
          <w:b/>
          <w:lang w:val="en-US"/>
        </w:rPr>
        <w:t>Q</w:t>
      </w:r>
      <w:r w:rsidRPr="00473282">
        <w:rPr>
          <w:b/>
        </w:rPr>
        <w:t>3 = 360</w:t>
      </w:r>
    </w:p>
    <w:p w:rsidR="00473282" w:rsidRPr="00473282" w:rsidRDefault="00473282" w:rsidP="00473282">
      <w:pPr>
        <w:rPr>
          <w:b/>
        </w:rPr>
      </w:pPr>
      <w:r w:rsidRPr="00473282">
        <w:rPr>
          <w:b/>
        </w:rPr>
        <w:t>Γ2</w:t>
      </w:r>
    </w:p>
    <w:p w:rsidR="00473282" w:rsidRPr="00B9494E" w:rsidRDefault="00473282" w:rsidP="00473282">
      <w:r w:rsidRPr="00473282">
        <w:t xml:space="preserve">για </w:t>
      </w:r>
      <w:proofErr w:type="spellStart"/>
      <w:r w:rsidRPr="00473282">
        <w:rPr>
          <w:lang w:val="en-US"/>
        </w:rPr>
        <w:t>Qd</w:t>
      </w:r>
      <w:proofErr w:type="spellEnd"/>
      <w:r w:rsidRPr="00473282">
        <w:t xml:space="preserve"> = 400 η </w:t>
      </w:r>
      <w:proofErr w:type="spellStart"/>
      <w:r w:rsidRPr="00473282">
        <w:rPr>
          <w:lang w:val="en-US"/>
        </w:rPr>
        <w:t>Qd</w:t>
      </w:r>
      <w:proofErr w:type="spellEnd"/>
      <w:r w:rsidRPr="00473282">
        <w:t>2 δίνει: 400=600-20</w:t>
      </w:r>
      <w:r w:rsidRPr="00473282">
        <w:rPr>
          <w:lang w:val="en-US"/>
        </w:rPr>
        <w:t>P</w:t>
      </w:r>
      <w:r w:rsidRPr="00473282">
        <w:t>….</w:t>
      </w:r>
      <w:r w:rsidRPr="00473282">
        <w:rPr>
          <w:lang w:val="en-US"/>
        </w:rPr>
        <w:t>P</w:t>
      </w:r>
      <w:r w:rsidRPr="00473282">
        <w:t xml:space="preserve">=10 </w:t>
      </w:r>
    </w:p>
    <w:p w:rsidR="00473282" w:rsidRDefault="00473282" w:rsidP="00473282">
      <w:r>
        <w:t xml:space="preserve">Επειδή πρόκειται για παράλληλη μετατόπιση, η κλίση β παραμένει σταθερή οπότε η αρχική καμπύλη ζήτησης θα είναι: </w:t>
      </w:r>
    </w:p>
    <w:p w:rsidR="00473282" w:rsidRPr="00B9494E" w:rsidRDefault="00E32B41" w:rsidP="00473282">
      <w:proofErr w:type="spellStart"/>
      <w:r>
        <w:rPr>
          <w:lang w:val="en-US"/>
        </w:rPr>
        <w:t>Qd</w:t>
      </w:r>
      <w:proofErr w:type="spellEnd"/>
      <w:r w:rsidRPr="00B9494E">
        <w:t xml:space="preserve"> = </w:t>
      </w:r>
      <w:r>
        <w:t>α-20</w:t>
      </w:r>
      <w:r>
        <w:rPr>
          <w:lang w:val="en-US"/>
        </w:rPr>
        <w:t>P</w:t>
      </w:r>
      <w:r w:rsidRPr="00B9494E">
        <w:t xml:space="preserve">. </w:t>
      </w:r>
    </w:p>
    <w:p w:rsidR="00E32B41" w:rsidRDefault="00E32B41" w:rsidP="00473282">
      <w:r>
        <w:t xml:space="preserve">και στο σημείο </w:t>
      </w:r>
      <w:r>
        <w:rPr>
          <w:lang w:val="en-US"/>
        </w:rPr>
        <w:t>P</w:t>
      </w:r>
      <w:r w:rsidRPr="00E32B41">
        <w:t xml:space="preserve">=10, </w:t>
      </w:r>
      <w:proofErr w:type="spellStart"/>
      <w:r>
        <w:rPr>
          <w:lang w:val="en-US"/>
        </w:rPr>
        <w:t>Qd</w:t>
      </w:r>
      <w:proofErr w:type="spellEnd"/>
      <w:r w:rsidRPr="00E32B41">
        <w:t xml:space="preserve"> = 400 (</w:t>
      </w:r>
      <w:r>
        <w:t>που βρίσκεται στην καμπύλη) θα ισχύει:</w:t>
      </w:r>
    </w:p>
    <w:p w:rsidR="00E32B41" w:rsidRDefault="00E32B41" w:rsidP="00473282">
      <w:r>
        <w:t>400 = α-2*10 …..α = 400</w:t>
      </w:r>
    </w:p>
    <w:p w:rsidR="00E32B41" w:rsidRPr="00B9494E" w:rsidRDefault="00E32B41" w:rsidP="00473282">
      <w:pPr>
        <w:rPr>
          <w:b/>
        </w:rPr>
      </w:pPr>
      <w:r>
        <w:t xml:space="preserve">επομένως η αρχική συνάρτηση ζήτησης είναι: </w:t>
      </w:r>
      <w:proofErr w:type="spellStart"/>
      <w:r w:rsidRPr="00E32B41">
        <w:rPr>
          <w:b/>
          <w:lang w:val="en-US"/>
        </w:rPr>
        <w:t>Qd</w:t>
      </w:r>
      <w:proofErr w:type="spellEnd"/>
      <w:r w:rsidRPr="00E32B41">
        <w:rPr>
          <w:b/>
        </w:rPr>
        <w:t xml:space="preserve"> = 400-20</w:t>
      </w:r>
      <w:r w:rsidRPr="00E32B41">
        <w:rPr>
          <w:b/>
          <w:lang w:val="en-US"/>
        </w:rPr>
        <w:t>P</w:t>
      </w:r>
    </w:p>
    <w:p w:rsidR="00B9494E" w:rsidRPr="00B9494E" w:rsidRDefault="00EF15A9" w:rsidP="00473282">
      <w:pPr>
        <w:rPr>
          <w:b/>
        </w:rPr>
      </w:pPr>
      <w:r>
        <w:rPr>
          <w:b/>
        </w:rPr>
        <w:t>Γ3</w:t>
      </w:r>
    </w:p>
    <w:p w:rsidR="00B9494E" w:rsidRDefault="00EF15A9" w:rsidP="00473282">
      <w:pPr>
        <w:rPr>
          <w:b/>
          <w:lang w:val="en-US"/>
        </w:rPr>
      </w:pPr>
      <w:r>
        <w:rPr>
          <w:b/>
          <w:noProof/>
          <w:lang w:eastAsia="el-GR"/>
        </w:rPr>
        <w:drawing>
          <wp:inline distT="0" distB="0" distL="0" distR="0">
            <wp:extent cx="2581275" cy="1876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876425"/>
                    </a:xfrm>
                    <a:prstGeom prst="rect">
                      <a:avLst/>
                    </a:prstGeom>
                    <a:noFill/>
                    <a:ln>
                      <a:noFill/>
                    </a:ln>
                  </pic:spPr>
                </pic:pic>
              </a:graphicData>
            </a:graphic>
          </wp:inline>
        </w:drawing>
      </w:r>
    </w:p>
    <w:p w:rsidR="00B9494E" w:rsidRDefault="00B9494E" w:rsidP="00473282">
      <w:pPr>
        <w:rPr>
          <w:b/>
        </w:rPr>
      </w:pPr>
    </w:p>
    <w:p w:rsidR="006361D3" w:rsidRPr="006361D3" w:rsidRDefault="006361D3" w:rsidP="00473282">
      <w:pPr>
        <w:rPr>
          <w:b/>
        </w:rPr>
      </w:pPr>
    </w:p>
    <w:p w:rsidR="00EF15A9" w:rsidRDefault="00EF15A9" w:rsidP="00EF15A9">
      <w:pPr>
        <w:jc w:val="both"/>
        <w:rPr>
          <w:rFonts w:ascii="Times New Roman" w:hAnsi="Times New Roman" w:cs="Times New Roman"/>
        </w:rPr>
      </w:pPr>
      <w:r>
        <w:rPr>
          <w:rFonts w:ascii="Times New Roman" w:hAnsi="Times New Roman" w:cs="Times New Roman"/>
        </w:rPr>
        <w:lastRenderedPageBreak/>
        <w:t xml:space="preserve">Γ4. </w:t>
      </w:r>
    </w:p>
    <w:p w:rsidR="00B9494E" w:rsidRPr="00EF15A9" w:rsidRDefault="00EF15A9" w:rsidP="00EF15A9">
      <w:pPr>
        <w:jc w:val="both"/>
        <w:rPr>
          <w:rFonts w:ascii="Times New Roman" w:hAnsi="Times New Roman" w:cs="Times New Roman"/>
          <w:b/>
        </w:rPr>
      </w:pPr>
      <w:r w:rsidRPr="00EF15A9">
        <w:rPr>
          <w:rFonts w:ascii="Times New Roman" w:hAnsi="Times New Roman" w:cs="Times New Roman"/>
        </w:rPr>
        <w:t xml:space="preserve">Ο καταναλωτής στην επιδίωξή του να μεγιστοποιήσει τη χρησιμότητά του από την κατανάλωση ενός αγαθού επηρεάζεται βασικά: πρώτο από το εισόδημά του και δεύτερο από την ύπαρξη άλλων παρόμοιων αγαθών που μπορούν να ικανοποιήσουν την ίδια ανάγκη (υποκατάστατα </w:t>
      </w:r>
      <w:proofErr w:type="spellStart"/>
      <w:r w:rsidRPr="00EF15A9">
        <w:rPr>
          <w:rFonts w:ascii="Times New Roman" w:hAnsi="Times New Roman" w:cs="Times New Roman"/>
        </w:rPr>
        <w:t>αγαθά).Έτσι</w:t>
      </w:r>
      <w:proofErr w:type="spellEnd"/>
      <w:r w:rsidRPr="00EF15A9">
        <w:rPr>
          <w:rFonts w:ascii="Times New Roman" w:hAnsi="Times New Roman" w:cs="Times New Roman"/>
        </w:rPr>
        <w:t xml:space="preserve"> αν αυξηθεί η τιμή ενός αγαθού, ο καταναλωτής είναι πιθανότερο να αγοράσει λιγότερες μονάδες από το συγκεκριμένο αγαθό, αφού το εισόδημά του δεν επαρκεί για να συνεχίσει να αγοράζει τις ίδιες ποσότητες και επιπλέον μπορεί να υποκαταστήσει το αγαθό αυτό με ένα παρόμοιο φθηνότερο αγαθό. Για παράδειγμα, αν αυξηθεί η τιμή του μοσχαρίσιου κρέατος, οι καταναλωτές μπορεί να στραφούν στην κατανάλωση χοιρινού ή πουλερικών και να μειώσουν την κατανάλωση του μοσχαρίσιου.</w:t>
      </w:r>
    </w:p>
    <w:p w:rsidR="00EF15A9" w:rsidRDefault="00EF15A9" w:rsidP="00B9494E">
      <w:pPr>
        <w:jc w:val="both"/>
        <w:rPr>
          <w:rFonts w:ascii="Times New Roman" w:eastAsia="Calibri" w:hAnsi="Times New Roman" w:cs="Times New Roman"/>
        </w:rPr>
      </w:pPr>
    </w:p>
    <w:p w:rsidR="00EF15A9" w:rsidRDefault="00EF15A9" w:rsidP="00B9494E">
      <w:pPr>
        <w:jc w:val="both"/>
        <w:rPr>
          <w:rFonts w:ascii="Times New Roman" w:eastAsia="Calibri" w:hAnsi="Times New Roman" w:cs="Times New Roman"/>
        </w:rPr>
      </w:pPr>
      <w:r>
        <w:rPr>
          <w:rFonts w:ascii="Times New Roman" w:eastAsia="Calibri" w:hAnsi="Times New Roman" w:cs="Times New Roman"/>
        </w:rPr>
        <w:t>Γ5</w:t>
      </w:r>
    </w:p>
    <w:p w:rsidR="00EF15A9" w:rsidRDefault="00EF15A9" w:rsidP="00B9494E">
      <w:pPr>
        <w:jc w:val="both"/>
        <w:rPr>
          <w:rFonts w:ascii="Times New Roman" w:eastAsia="Calibri" w:hAnsi="Times New Roman" w:cs="Times New Roman"/>
        </w:rPr>
      </w:pPr>
      <w:r>
        <w:rPr>
          <w:rFonts w:ascii="Times New Roman" w:eastAsia="Calibri" w:hAnsi="Times New Roman" w:cs="Times New Roman"/>
          <w:noProof/>
          <w:lang w:eastAsia="el-GR"/>
        </w:rPr>
        <w:drawing>
          <wp:inline distT="0" distB="0" distL="0" distR="0">
            <wp:extent cx="4362450" cy="1396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1396560"/>
                    </a:xfrm>
                    <a:prstGeom prst="rect">
                      <a:avLst/>
                    </a:prstGeom>
                    <a:noFill/>
                    <a:ln>
                      <a:noFill/>
                    </a:ln>
                  </pic:spPr>
                </pic:pic>
              </a:graphicData>
            </a:graphic>
          </wp:inline>
        </w:drawing>
      </w:r>
    </w:p>
    <w:p w:rsidR="00EF15A9" w:rsidRPr="00F3652F" w:rsidRDefault="00F3652F" w:rsidP="00B9494E">
      <w:pPr>
        <w:jc w:val="both"/>
        <w:rPr>
          <w:rFonts w:ascii="Times New Roman" w:eastAsia="Calibri" w:hAnsi="Times New Roman" w:cs="Times New Roman"/>
        </w:rPr>
      </w:pPr>
      <w:r w:rsidRPr="00F3652F">
        <w:rPr>
          <w:rFonts w:ascii="Times New Roman" w:hAnsi="Times New Roman" w:cs="Times New Roman"/>
        </w:rPr>
        <w:t xml:space="preserve">Παρατηρούμε ότι η συνολική δαπάνη αυξήθηκε. Αυτό οφείλεται στο γεγονός ότι η τιμή αυξήθηκε και η ζήτηση είναι ανελαστική. Στην </w:t>
      </w:r>
      <w:r w:rsidRPr="00F3652F">
        <w:rPr>
          <w:rFonts w:ascii="Times New Roman" w:hAnsi="Times New Roman" w:cs="Times New Roman"/>
          <w:b/>
          <w:bCs/>
        </w:rPr>
        <w:t xml:space="preserve">ανελαστική ζήτηση </w:t>
      </w:r>
      <w:r w:rsidRPr="00F3652F">
        <w:rPr>
          <w:rFonts w:ascii="Times New Roman" w:hAnsi="Times New Roman" w:cs="Times New Roman"/>
        </w:rPr>
        <w:t xml:space="preserve">η ποσοστιαία μεταβολή της ζητούμενης ποσότητας είναι </w:t>
      </w:r>
      <w:r w:rsidRPr="00F3652F">
        <w:rPr>
          <w:rFonts w:ascii="Times New Roman" w:hAnsi="Times New Roman" w:cs="Times New Roman"/>
          <w:b/>
          <w:bCs/>
        </w:rPr>
        <w:t xml:space="preserve">μικρότερη </w:t>
      </w:r>
      <w:r w:rsidRPr="00F3652F">
        <w:rPr>
          <w:rFonts w:ascii="Times New Roman" w:hAnsi="Times New Roman" w:cs="Times New Roman"/>
        </w:rPr>
        <w:t xml:space="preserve">από την ποσοστιαία μεταβολή της τιμής (σε απόλυτες τιμές). Επομένως, τη συνολική δαπάνη θα επηρεάζει κάθε φορά η μεγαλύτερη ποσοστιαία μεταβολή, δηλαδή </w:t>
      </w:r>
      <w:r w:rsidRPr="00F3652F">
        <w:rPr>
          <w:rFonts w:ascii="Times New Roman" w:hAnsi="Times New Roman" w:cs="Times New Roman"/>
          <w:b/>
          <w:bCs/>
        </w:rPr>
        <w:t>της τιμής</w:t>
      </w:r>
      <w:r w:rsidRPr="00F3652F">
        <w:rPr>
          <w:rFonts w:ascii="Times New Roman" w:hAnsi="Times New Roman" w:cs="Times New Roman"/>
        </w:rPr>
        <w:t>.</w:t>
      </w:r>
    </w:p>
    <w:p w:rsidR="00B9494E" w:rsidRPr="00B9494E" w:rsidRDefault="00B9494E" w:rsidP="00B9494E">
      <w:pPr>
        <w:jc w:val="both"/>
        <w:rPr>
          <w:rFonts w:ascii="Times New Roman" w:eastAsia="Calibri" w:hAnsi="Times New Roman" w:cs="Times New Roman"/>
          <w:b/>
        </w:rPr>
      </w:pPr>
      <w:r w:rsidRPr="00B9494E">
        <w:rPr>
          <w:rFonts w:ascii="Times New Roman" w:eastAsia="Calibri" w:hAnsi="Times New Roman" w:cs="Times New Roman"/>
          <w:b/>
        </w:rPr>
        <w:t>ΘΕΜΑ Δ</w:t>
      </w:r>
    </w:p>
    <w:tbl>
      <w:tblPr>
        <w:tblStyle w:val="TableGrid"/>
        <w:tblW w:w="0" w:type="auto"/>
        <w:tblLook w:val="04A0" w:firstRow="1" w:lastRow="0" w:firstColumn="1" w:lastColumn="0" w:noHBand="0" w:noVBand="1"/>
      </w:tblPr>
      <w:tblGrid>
        <w:gridCol w:w="546"/>
        <w:gridCol w:w="656"/>
        <w:gridCol w:w="711"/>
        <w:gridCol w:w="644"/>
        <w:gridCol w:w="656"/>
        <w:gridCol w:w="791"/>
        <w:gridCol w:w="669"/>
      </w:tblGrid>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L</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Q</w:t>
            </w:r>
          </w:p>
        </w:tc>
        <w:tc>
          <w:tcPr>
            <w:tcW w:w="71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AP</w:t>
            </w:r>
          </w:p>
        </w:tc>
        <w:tc>
          <w:tcPr>
            <w:tcW w:w="644"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MP</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VC</w:t>
            </w:r>
          </w:p>
        </w:tc>
        <w:tc>
          <w:tcPr>
            <w:tcW w:w="79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AVC</w:t>
            </w:r>
          </w:p>
        </w:tc>
        <w:tc>
          <w:tcPr>
            <w:tcW w:w="669"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MC</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20</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100</w:t>
            </w:r>
          </w:p>
        </w:tc>
        <w:tc>
          <w:tcPr>
            <w:tcW w:w="71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5</w:t>
            </w:r>
          </w:p>
        </w:tc>
        <w:tc>
          <w:tcPr>
            <w:tcW w:w="644"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400</w:t>
            </w:r>
          </w:p>
        </w:tc>
        <w:tc>
          <w:tcPr>
            <w:tcW w:w="79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w:t>
            </w:r>
          </w:p>
        </w:tc>
        <w:tc>
          <w:tcPr>
            <w:tcW w:w="669"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30</w:t>
            </w:r>
          </w:p>
        </w:tc>
        <w:tc>
          <w:tcPr>
            <w:tcW w:w="656" w:type="dxa"/>
            <w:vAlign w:val="center"/>
          </w:tcPr>
          <w:p w:rsidR="00B9494E" w:rsidRPr="00B9494E" w:rsidRDefault="00B9494E" w:rsidP="00B9494E">
            <w:pPr>
              <w:jc w:val="center"/>
              <w:rPr>
                <w:rFonts w:ascii="Times New Roman" w:eastAsia="Calibri" w:hAnsi="Times New Roman" w:cs="Times New Roman"/>
                <w:color w:val="FF0000"/>
                <w:lang w:val="en-US"/>
              </w:rPr>
            </w:pPr>
            <w:r w:rsidRPr="00B9494E">
              <w:rPr>
                <w:rFonts w:ascii="Times New Roman" w:eastAsia="Calibri" w:hAnsi="Times New Roman" w:cs="Times New Roman"/>
                <w:color w:val="FF0000"/>
                <w:lang w:val="en-US"/>
              </w:rPr>
              <w:t>150</w:t>
            </w:r>
          </w:p>
        </w:tc>
        <w:tc>
          <w:tcPr>
            <w:tcW w:w="711" w:type="dxa"/>
            <w:vAlign w:val="center"/>
          </w:tcPr>
          <w:p w:rsidR="00B9494E" w:rsidRPr="00B9494E" w:rsidRDefault="00B9494E" w:rsidP="00B9494E">
            <w:pPr>
              <w:jc w:val="center"/>
              <w:rPr>
                <w:rFonts w:ascii="Times New Roman" w:eastAsia="Calibri" w:hAnsi="Times New Roman" w:cs="Times New Roman"/>
                <w:color w:val="FF0000"/>
                <w:lang w:val="en-US"/>
              </w:rPr>
            </w:pPr>
            <w:r w:rsidRPr="00B9494E">
              <w:rPr>
                <w:rFonts w:ascii="Times New Roman" w:eastAsia="Calibri" w:hAnsi="Times New Roman" w:cs="Times New Roman"/>
                <w:color w:val="FF0000"/>
                <w:lang w:val="en-US"/>
              </w:rPr>
              <w:t>5</w:t>
            </w:r>
          </w:p>
        </w:tc>
        <w:tc>
          <w:tcPr>
            <w:tcW w:w="644" w:type="dxa"/>
            <w:vAlign w:val="center"/>
          </w:tcPr>
          <w:p w:rsidR="00B9494E" w:rsidRPr="00B9494E" w:rsidRDefault="00B9494E" w:rsidP="00B9494E">
            <w:pPr>
              <w:jc w:val="center"/>
              <w:rPr>
                <w:rFonts w:ascii="Times New Roman" w:eastAsia="Calibri" w:hAnsi="Times New Roman" w:cs="Times New Roman"/>
                <w:color w:val="FF0000"/>
                <w:lang w:val="en-US"/>
              </w:rPr>
            </w:pPr>
            <w:r w:rsidRPr="00B9494E">
              <w:rPr>
                <w:rFonts w:ascii="Times New Roman" w:eastAsia="Calibri" w:hAnsi="Times New Roman" w:cs="Times New Roman"/>
                <w:color w:val="FF0000"/>
                <w:lang w:val="en-US"/>
              </w:rPr>
              <w:t>5</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600</w:t>
            </w:r>
          </w:p>
        </w:tc>
        <w:tc>
          <w:tcPr>
            <w:tcW w:w="79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w:t>
            </w:r>
          </w:p>
        </w:tc>
        <w:tc>
          <w:tcPr>
            <w:tcW w:w="669"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40</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170</w:t>
            </w:r>
          </w:p>
        </w:tc>
        <w:tc>
          <w:tcPr>
            <w:tcW w:w="71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4,25</w:t>
            </w:r>
          </w:p>
        </w:tc>
        <w:tc>
          <w:tcPr>
            <w:tcW w:w="644"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2</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740</w:t>
            </w:r>
          </w:p>
        </w:tc>
        <w:tc>
          <w:tcPr>
            <w:tcW w:w="79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4,4</w:t>
            </w:r>
          </w:p>
        </w:tc>
        <w:tc>
          <w:tcPr>
            <w:tcW w:w="669"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7</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50</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180</w:t>
            </w:r>
          </w:p>
        </w:tc>
        <w:tc>
          <w:tcPr>
            <w:tcW w:w="71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3,6</w:t>
            </w:r>
          </w:p>
        </w:tc>
        <w:tc>
          <w:tcPr>
            <w:tcW w:w="644"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w:t>
            </w:r>
          </w:p>
        </w:tc>
        <w:tc>
          <w:tcPr>
            <w:tcW w:w="65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860</w:t>
            </w:r>
          </w:p>
        </w:tc>
        <w:tc>
          <w:tcPr>
            <w:tcW w:w="79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4,8</w:t>
            </w:r>
          </w:p>
        </w:tc>
        <w:tc>
          <w:tcPr>
            <w:tcW w:w="669"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12</w:t>
            </w:r>
          </w:p>
        </w:tc>
      </w:tr>
    </w:tbl>
    <w:p w:rsidR="00B9494E" w:rsidRPr="00B9494E" w:rsidRDefault="00B9494E" w:rsidP="00B9494E">
      <w:pPr>
        <w:jc w:val="both"/>
        <w:rPr>
          <w:rFonts w:ascii="Times New Roman" w:eastAsia="Calibri" w:hAnsi="Times New Roman" w:cs="Times New Roman"/>
        </w:rPr>
      </w:pP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Δ</w:t>
      </w:r>
      <w:r w:rsidRPr="00B9494E">
        <w:rPr>
          <w:rFonts w:ascii="Times New Roman" w:eastAsia="Calibri" w:hAnsi="Times New Roman" w:cs="Times New Roman"/>
          <w:vertAlign w:val="subscript"/>
        </w:rPr>
        <w:t>1</w:t>
      </w:r>
      <w:r w:rsidRPr="00B9494E">
        <w:rPr>
          <w:rFonts w:ascii="Times New Roman" w:eastAsia="Calibri" w:hAnsi="Times New Roman" w:cs="Times New Roman"/>
        </w:rPr>
        <w:t>.</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 xml:space="preserve">α) </w:t>
      </w:r>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507"/>
        <w:gridCol w:w="481"/>
        <w:gridCol w:w="447"/>
        <w:gridCol w:w="942"/>
        <w:gridCol w:w="999"/>
        <w:gridCol w:w="515"/>
        <w:gridCol w:w="447"/>
        <w:gridCol w:w="1013"/>
        <w:gridCol w:w="542"/>
        <w:gridCol w:w="1075"/>
      </w:tblGrid>
      <w:tr w:rsidR="00B9494E" w:rsidRPr="00B9494E" w:rsidTr="00D84791">
        <w:tc>
          <w:tcPr>
            <w:tcW w:w="1020"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L=30→</w:t>
            </w:r>
          </w:p>
        </w:tc>
        <w:tc>
          <w:tcPr>
            <w:tcW w:w="1507" w:type="dxa"/>
            <w:vMerge w:val="restart"/>
            <w:vAlign w:val="center"/>
          </w:tcPr>
          <w:p w:rsidR="00B9494E" w:rsidRPr="00B9494E" w:rsidRDefault="00B9494E" w:rsidP="00B9494E">
            <w:pPr>
              <w:jc w:val="center"/>
              <w:rPr>
                <w:rFonts w:ascii="Times New Roman" w:eastAsia="Calibri" w:hAnsi="Times New Roman" w:cs="Times New Roman"/>
                <w:lang w:val="en-US"/>
              </w:rPr>
            </w:pPr>
            <w:proofErr w:type="spellStart"/>
            <w:r w:rsidRPr="00B9494E">
              <w:rPr>
                <w:rFonts w:ascii="Times New Roman" w:eastAsia="Calibri" w:hAnsi="Times New Roman" w:cs="Times New Roman"/>
                <w:lang w:val="en-US"/>
              </w:rPr>
              <w:t>AP</w:t>
            </w:r>
            <w:r w:rsidRPr="00B9494E">
              <w:rPr>
                <w:rFonts w:ascii="Times New Roman" w:eastAsia="Calibri" w:hAnsi="Times New Roman" w:cs="Times New Roman"/>
                <w:vertAlign w:val="subscript"/>
                <w:lang w:val="en-US"/>
              </w:rPr>
              <w:t>max</w:t>
            </w:r>
            <w:proofErr w:type="spellEnd"/>
            <w:r w:rsidRPr="00B9494E">
              <w:rPr>
                <w:rFonts w:ascii="Times New Roman" w:eastAsia="Calibri" w:hAnsi="Times New Roman" w:cs="Times New Roman"/>
                <w:lang w:val="en-US"/>
              </w:rPr>
              <w:t>=MP→</w:t>
            </w:r>
          </w:p>
        </w:tc>
        <w:tc>
          <w:tcPr>
            <w:tcW w:w="481"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Q</w:t>
            </w:r>
          </w:p>
        </w:tc>
        <w:tc>
          <w:tcPr>
            <w:tcW w:w="447"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w:t>
            </w:r>
          </w:p>
        </w:tc>
        <w:tc>
          <w:tcPr>
            <w:tcW w:w="942"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rPr>
              <w:t>Δ</w:t>
            </w:r>
            <w:r w:rsidRPr="00B9494E">
              <w:rPr>
                <w:rFonts w:ascii="Times New Roman" w:eastAsia="Calibri" w:hAnsi="Times New Roman" w:cs="Times New Roman"/>
                <w:lang w:val="en-US"/>
              </w:rPr>
              <w:t xml:space="preserve">Q  </w:t>
            </w:r>
          </w:p>
        </w:tc>
        <w:tc>
          <w:tcPr>
            <w:tcW w:w="999" w:type="dxa"/>
            <w:vMerge w:val="restart"/>
            <w:vAlign w:val="center"/>
          </w:tcPr>
          <w:p w:rsidR="00B9494E" w:rsidRPr="00B9494E" w:rsidRDefault="00B9494E" w:rsidP="00B9494E">
            <w:pPr>
              <w:jc w:val="center"/>
              <w:rPr>
                <w:rFonts w:ascii="Times New Roman" w:eastAsia="Calibri" w:hAnsi="Times New Roman" w:cs="Times New Roman"/>
                <w:vertAlign w:val="subscript"/>
                <w:lang w:val="en-US"/>
              </w:rPr>
            </w:pPr>
            <w:r w:rsidRPr="00B9494E">
              <w:rPr>
                <w:rFonts w:ascii="Times New Roman" w:eastAsia="Calibri" w:hAnsi="Times New Roman" w:cs="Times New Roman"/>
                <w:lang w:val="en-US"/>
              </w:rPr>
              <w:t>→</w:t>
            </w:r>
          </w:p>
        </w:tc>
        <w:tc>
          <w:tcPr>
            <w:tcW w:w="515"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vertAlign w:val="subscript"/>
                <w:lang w:val="en-US"/>
              </w:rPr>
            </w:pPr>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30</w:t>
            </w:r>
          </w:p>
        </w:tc>
        <w:tc>
          <w:tcPr>
            <w:tcW w:w="447"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w:t>
            </w:r>
          </w:p>
        </w:tc>
        <w:tc>
          <w:tcPr>
            <w:tcW w:w="1013"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30</w:t>
            </w:r>
            <w:r w:rsidRPr="00B9494E">
              <w:rPr>
                <w:rFonts w:ascii="Times New Roman" w:eastAsia="Calibri" w:hAnsi="Times New Roman" w:cs="Times New Roman"/>
                <w:lang w:val="en-US"/>
              </w:rPr>
              <w:t>-100</w:t>
            </w:r>
          </w:p>
        </w:tc>
        <w:tc>
          <w:tcPr>
            <w:tcW w:w="542" w:type="dxa"/>
            <w:vMerge w:val="restart"/>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w:t>
            </w:r>
          </w:p>
        </w:tc>
        <w:tc>
          <w:tcPr>
            <w:tcW w:w="1075"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30</w:t>
            </w:r>
            <w:r w:rsidRPr="00B9494E">
              <w:rPr>
                <w:rFonts w:ascii="Times New Roman" w:eastAsia="Calibri" w:hAnsi="Times New Roman" w:cs="Times New Roman"/>
                <w:lang w:val="en-US"/>
              </w:rPr>
              <w:t>=150</w:t>
            </w:r>
          </w:p>
        </w:tc>
      </w:tr>
      <w:tr w:rsidR="00B9494E" w:rsidRPr="00B9494E" w:rsidTr="00D84791">
        <w:tc>
          <w:tcPr>
            <w:tcW w:w="1020" w:type="dxa"/>
            <w:vMerge/>
            <w:vAlign w:val="center"/>
          </w:tcPr>
          <w:p w:rsidR="00B9494E" w:rsidRPr="00B9494E" w:rsidRDefault="00B9494E" w:rsidP="00B9494E">
            <w:pPr>
              <w:jc w:val="center"/>
              <w:rPr>
                <w:rFonts w:ascii="Times New Roman" w:eastAsia="Calibri" w:hAnsi="Times New Roman" w:cs="Times New Roman"/>
              </w:rPr>
            </w:pPr>
          </w:p>
        </w:tc>
        <w:tc>
          <w:tcPr>
            <w:tcW w:w="1507" w:type="dxa"/>
            <w:vMerge/>
            <w:vAlign w:val="center"/>
          </w:tcPr>
          <w:p w:rsidR="00B9494E" w:rsidRPr="00B9494E" w:rsidRDefault="00B9494E" w:rsidP="00B9494E">
            <w:pPr>
              <w:jc w:val="center"/>
              <w:rPr>
                <w:rFonts w:ascii="Times New Roman" w:eastAsia="Calibri" w:hAnsi="Times New Roman" w:cs="Times New Roman"/>
              </w:rPr>
            </w:pPr>
          </w:p>
        </w:tc>
        <w:tc>
          <w:tcPr>
            <w:tcW w:w="481"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L</w:t>
            </w:r>
          </w:p>
        </w:tc>
        <w:tc>
          <w:tcPr>
            <w:tcW w:w="447" w:type="dxa"/>
            <w:vMerge/>
            <w:vAlign w:val="center"/>
          </w:tcPr>
          <w:p w:rsidR="00B9494E" w:rsidRPr="00B9494E" w:rsidRDefault="00B9494E" w:rsidP="00B9494E">
            <w:pPr>
              <w:jc w:val="center"/>
              <w:rPr>
                <w:rFonts w:ascii="Times New Roman" w:eastAsia="Calibri" w:hAnsi="Times New Roman" w:cs="Times New Roman"/>
              </w:rPr>
            </w:pPr>
          </w:p>
        </w:tc>
        <w:tc>
          <w:tcPr>
            <w:tcW w:w="942"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rPr>
              <w:t>Δ</w:t>
            </w:r>
            <w:r w:rsidRPr="00B9494E">
              <w:rPr>
                <w:rFonts w:ascii="Times New Roman" w:eastAsia="Calibri" w:hAnsi="Times New Roman" w:cs="Times New Roman"/>
                <w:lang w:val="en-US"/>
              </w:rPr>
              <w:t>L</w:t>
            </w:r>
          </w:p>
        </w:tc>
        <w:tc>
          <w:tcPr>
            <w:tcW w:w="999" w:type="dxa"/>
            <w:vMerge/>
            <w:vAlign w:val="center"/>
          </w:tcPr>
          <w:p w:rsidR="00B9494E" w:rsidRPr="00B9494E" w:rsidRDefault="00B9494E" w:rsidP="00B9494E">
            <w:pPr>
              <w:jc w:val="center"/>
              <w:rPr>
                <w:rFonts w:ascii="Times New Roman" w:eastAsia="Calibri" w:hAnsi="Times New Roman" w:cs="Times New Roman"/>
                <w:lang w:val="en-US"/>
              </w:rPr>
            </w:pPr>
          </w:p>
        </w:tc>
        <w:tc>
          <w:tcPr>
            <w:tcW w:w="515"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30</w:t>
            </w:r>
          </w:p>
        </w:tc>
        <w:tc>
          <w:tcPr>
            <w:tcW w:w="447" w:type="dxa"/>
            <w:vMerge/>
            <w:vAlign w:val="center"/>
          </w:tcPr>
          <w:p w:rsidR="00B9494E" w:rsidRPr="00B9494E" w:rsidRDefault="00B9494E" w:rsidP="00B9494E">
            <w:pPr>
              <w:jc w:val="center"/>
              <w:rPr>
                <w:rFonts w:ascii="Times New Roman" w:eastAsia="Calibri" w:hAnsi="Times New Roman" w:cs="Times New Roman"/>
              </w:rPr>
            </w:pPr>
          </w:p>
        </w:tc>
        <w:tc>
          <w:tcPr>
            <w:tcW w:w="1013"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30-20</w:t>
            </w:r>
          </w:p>
        </w:tc>
        <w:tc>
          <w:tcPr>
            <w:tcW w:w="542" w:type="dxa"/>
            <w:vMerge/>
            <w:vAlign w:val="center"/>
          </w:tcPr>
          <w:p w:rsidR="00B9494E" w:rsidRPr="00B9494E" w:rsidRDefault="00B9494E" w:rsidP="00B9494E">
            <w:pPr>
              <w:jc w:val="center"/>
              <w:rPr>
                <w:rFonts w:ascii="Times New Roman" w:eastAsia="Calibri" w:hAnsi="Times New Roman" w:cs="Times New Roman"/>
              </w:rPr>
            </w:pPr>
          </w:p>
        </w:tc>
        <w:tc>
          <w:tcPr>
            <w:tcW w:w="1075" w:type="dxa"/>
            <w:vMerge/>
            <w:vAlign w:val="center"/>
          </w:tcPr>
          <w:p w:rsidR="00B9494E" w:rsidRPr="00B9494E" w:rsidRDefault="00B9494E" w:rsidP="00B9494E">
            <w:pPr>
              <w:jc w:val="center"/>
              <w:rPr>
                <w:rFonts w:ascii="Times New Roman" w:eastAsia="Calibri" w:hAnsi="Times New Roman" w:cs="Times New Roman"/>
              </w:rPr>
            </w:pPr>
          </w:p>
        </w:tc>
      </w:tr>
      <w:tr w:rsidR="00B9494E" w:rsidRPr="00B9494E" w:rsidTr="00D84791">
        <w:tc>
          <w:tcPr>
            <w:tcW w:w="1020" w:type="dxa"/>
            <w:vMerge/>
            <w:vAlign w:val="center"/>
          </w:tcPr>
          <w:p w:rsidR="00B9494E" w:rsidRPr="00B9494E" w:rsidRDefault="00B9494E" w:rsidP="00B9494E">
            <w:pPr>
              <w:jc w:val="center"/>
              <w:rPr>
                <w:rFonts w:ascii="Times New Roman" w:eastAsia="Calibri" w:hAnsi="Times New Roman" w:cs="Times New Roman"/>
              </w:rPr>
            </w:pPr>
          </w:p>
        </w:tc>
        <w:tc>
          <w:tcPr>
            <w:tcW w:w="1507"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AP=</w:t>
            </w:r>
          </w:p>
        </w:tc>
        <w:tc>
          <w:tcPr>
            <w:tcW w:w="481"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Q</w:t>
            </w:r>
          </w:p>
        </w:tc>
        <w:tc>
          <w:tcPr>
            <w:tcW w:w="447"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w:t>
            </w:r>
          </w:p>
        </w:tc>
        <w:tc>
          <w:tcPr>
            <w:tcW w:w="942"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150</w:t>
            </w:r>
          </w:p>
        </w:tc>
        <w:tc>
          <w:tcPr>
            <w:tcW w:w="999"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=5=MP</w:t>
            </w:r>
          </w:p>
        </w:tc>
        <w:tc>
          <w:tcPr>
            <w:tcW w:w="515" w:type="dxa"/>
          </w:tcPr>
          <w:p w:rsidR="00B9494E" w:rsidRPr="00B9494E" w:rsidRDefault="00B9494E" w:rsidP="00B9494E">
            <w:pPr>
              <w:rPr>
                <w:rFonts w:ascii="Times New Roman" w:eastAsia="Calibri" w:hAnsi="Times New Roman" w:cs="Times New Roman"/>
              </w:rPr>
            </w:pPr>
          </w:p>
        </w:tc>
        <w:tc>
          <w:tcPr>
            <w:tcW w:w="447" w:type="dxa"/>
          </w:tcPr>
          <w:p w:rsidR="00B9494E" w:rsidRPr="00B9494E" w:rsidRDefault="00B9494E" w:rsidP="00B9494E">
            <w:pPr>
              <w:rPr>
                <w:rFonts w:ascii="Times New Roman" w:eastAsia="Calibri" w:hAnsi="Times New Roman" w:cs="Times New Roman"/>
              </w:rPr>
            </w:pPr>
          </w:p>
        </w:tc>
        <w:tc>
          <w:tcPr>
            <w:tcW w:w="1013" w:type="dxa"/>
            <w:vAlign w:val="center"/>
          </w:tcPr>
          <w:p w:rsidR="00B9494E" w:rsidRPr="00B9494E" w:rsidRDefault="00B9494E" w:rsidP="00B9494E">
            <w:pPr>
              <w:jc w:val="center"/>
              <w:rPr>
                <w:rFonts w:ascii="Times New Roman" w:eastAsia="Calibri" w:hAnsi="Times New Roman" w:cs="Times New Roman"/>
              </w:rPr>
            </w:pPr>
          </w:p>
        </w:tc>
        <w:tc>
          <w:tcPr>
            <w:tcW w:w="542" w:type="dxa"/>
          </w:tcPr>
          <w:p w:rsidR="00B9494E" w:rsidRPr="00B9494E" w:rsidRDefault="00B9494E" w:rsidP="00B9494E">
            <w:pPr>
              <w:rPr>
                <w:rFonts w:ascii="Times New Roman" w:eastAsia="Calibri" w:hAnsi="Times New Roman" w:cs="Times New Roman"/>
              </w:rPr>
            </w:pPr>
          </w:p>
        </w:tc>
        <w:tc>
          <w:tcPr>
            <w:tcW w:w="1075" w:type="dxa"/>
          </w:tcPr>
          <w:p w:rsidR="00B9494E" w:rsidRPr="00B9494E" w:rsidRDefault="00B9494E" w:rsidP="00B9494E">
            <w:pPr>
              <w:rPr>
                <w:rFonts w:ascii="Times New Roman" w:eastAsia="Calibri" w:hAnsi="Times New Roman" w:cs="Times New Roman"/>
              </w:rPr>
            </w:pPr>
          </w:p>
        </w:tc>
      </w:tr>
      <w:tr w:rsidR="00B9494E" w:rsidRPr="00B9494E" w:rsidTr="00D84791">
        <w:tc>
          <w:tcPr>
            <w:tcW w:w="1020" w:type="dxa"/>
            <w:vMerge/>
            <w:vAlign w:val="center"/>
          </w:tcPr>
          <w:p w:rsidR="00B9494E" w:rsidRPr="00B9494E" w:rsidRDefault="00B9494E" w:rsidP="00B9494E">
            <w:pPr>
              <w:jc w:val="center"/>
              <w:rPr>
                <w:rFonts w:ascii="Times New Roman" w:eastAsia="Calibri" w:hAnsi="Times New Roman" w:cs="Times New Roman"/>
              </w:rPr>
            </w:pPr>
          </w:p>
        </w:tc>
        <w:tc>
          <w:tcPr>
            <w:tcW w:w="1507" w:type="dxa"/>
            <w:vMerge/>
            <w:vAlign w:val="center"/>
          </w:tcPr>
          <w:p w:rsidR="00B9494E" w:rsidRPr="00B9494E" w:rsidRDefault="00B9494E" w:rsidP="00B9494E">
            <w:pPr>
              <w:jc w:val="center"/>
              <w:rPr>
                <w:rFonts w:ascii="Times New Roman" w:eastAsia="Calibri" w:hAnsi="Times New Roman" w:cs="Times New Roman"/>
              </w:rPr>
            </w:pPr>
          </w:p>
        </w:tc>
        <w:tc>
          <w:tcPr>
            <w:tcW w:w="481"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L</w:t>
            </w:r>
          </w:p>
        </w:tc>
        <w:tc>
          <w:tcPr>
            <w:tcW w:w="447" w:type="dxa"/>
            <w:vMerge/>
            <w:vAlign w:val="center"/>
          </w:tcPr>
          <w:p w:rsidR="00B9494E" w:rsidRPr="00B9494E" w:rsidRDefault="00B9494E" w:rsidP="00B9494E">
            <w:pPr>
              <w:jc w:val="center"/>
              <w:rPr>
                <w:rFonts w:ascii="Times New Roman" w:eastAsia="Calibri" w:hAnsi="Times New Roman" w:cs="Times New Roman"/>
              </w:rPr>
            </w:pPr>
          </w:p>
        </w:tc>
        <w:tc>
          <w:tcPr>
            <w:tcW w:w="942"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50</w:t>
            </w:r>
          </w:p>
        </w:tc>
        <w:tc>
          <w:tcPr>
            <w:tcW w:w="999" w:type="dxa"/>
            <w:vMerge/>
            <w:vAlign w:val="center"/>
          </w:tcPr>
          <w:p w:rsidR="00B9494E" w:rsidRPr="00B9494E" w:rsidRDefault="00B9494E" w:rsidP="00B9494E">
            <w:pPr>
              <w:jc w:val="center"/>
              <w:rPr>
                <w:rFonts w:ascii="Times New Roman" w:eastAsia="Calibri" w:hAnsi="Times New Roman" w:cs="Times New Roman"/>
              </w:rPr>
            </w:pPr>
          </w:p>
        </w:tc>
        <w:tc>
          <w:tcPr>
            <w:tcW w:w="515" w:type="dxa"/>
          </w:tcPr>
          <w:p w:rsidR="00B9494E" w:rsidRPr="00B9494E" w:rsidRDefault="00B9494E" w:rsidP="00B9494E">
            <w:pPr>
              <w:rPr>
                <w:rFonts w:ascii="Times New Roman" w:eastAsia="Calibri" w:hAnsi="Times New Roman" w:cs="Times New Roman"/>
              </w:rPr>
            </w:pPr>
          </w:p>
        </w:tc>
        <w:tc>
          <w:tcPr>
            <w:tcW w:w="447" w:type="dxa"/>
          </w:tcPr>
          <w:p w:rsidR="00B9494E" w:rsidRPr="00B9494E" w:rsidRDefault="00B9494E" w:rsidP="00B9494E">
            <w:pPr>
              <w:rPr>
                <w:rFonts w:ascii="Times New Roman" w:eastAsia="Calibri" w:hAnsi="Times New Roman" w:cs="Times New Roman"/>
              </w:rPr>
            </w:pPr>
          </w:p>
        </w:tc>
        <w:tc>
          <w:tcPr>
            <w:tcW w:w="1013" w:type="dxa"/>
            <w:vAlign w:val="center"/>
          </w:tcPr>
          <w:p w:rsidR="00B9494E" w:rsidRPr="00B9494E" w:rsidRDefault="00B9494E" w:rsidP="00B9494E">
            <w:pPr>
              <w:jc w:val="center"/>
              <w:rPr>
                <w:rFonts w:ascii="Times New Roman" w:eastAsia="Calibri" w:hAnsi="Times New Roman" w:cs="Times New Roman"/>
              </w:rPr>
            </w:pPr>
          </w:p>
        </w:tc>
        <w:tc>
          <w:tcPr>
            <w:tcW w:w="542" w:type="dxa"/>
          </w:tcPr>
          <w:p w:rsidR="00B9494E" w:rsidRPr="00B9494E" w:rsidRDefault="00B9494E" w:rsidP="00B9494E">
            <w:pPr>
              <w:rPr>
                <w:rFonts w:ascii="Times New Roman" w:eastAsia="Calibri" w:hAnsi="Times New Roman" w:cs="Times New Roman"/>
              </w:rPr>
            </w:pPr>
          </w:p>
        </w:tc>
        <w:tc>
          <w:tcPr>
            <w:tcW w:w="1075" w:type="dxa"/>
          </w:tcPr>
          <w:p w:rsidR="00B9494E" w:rsidRPr="00B9494E" w:rsidRDefault="00B9494E" w:rsidP="00B9494E">
            <w:pPr>
              <w:rPr>
                <w:rFonts w:ascii="Times New Roman" w:eastAsia="Calibri" w:hAnsi="Times New Roman" w:cs="Times New Roman"/>
              </w:rPr>
            </w:pPr>
          </w:p>
        </w:tc>
      </w:tr>
    </w:tbl>
    <w:p w:rsidR="00B9494E" w:rsidRPr="00B9494E" w:rsidRDefault="00B9494E" w:rsidP="00B9494E">
      <w:pPr>
        <w:rPr>
          <w:rFonts w:ascii="Times New Roman" w:eastAsia="Calibri" w:hAnsi="Times New Roman" w:cs="Times New Roman"/>
        </w:rPr>
      </w:pP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β)</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lang w:val="en-US"/>
        </w:rPr>
        <w:t>L</w:t>
      </w:r>
      <w:r w:rsidRPr="00B9494E">
        <w:rPr>
          <w:rFonts w:ascii="Times New Roman" w:eastAsia="Calibri" w:hAnsi="Times New Roman" w:cs="Times New Roman"/>
        </w:rPr>
        <w:t>=20→</w:t>
      </w:r>
      <w:r w:rsidRPr="00B9494E">
        <w:rPr>
          <w:rFonts w:ascii="Times New Roman" w:eastAsia="Calibri" w:hAnsi="Times New Roman" w:cs="Times New Roman"/>
          <w:lang w:val="en-US"/>
        </w:rPr>
        <w:t>VC</w:t>
      </w:r>
      <w:r w:rsidRPr="00B9494E">
        <w:rPr>
          <w:rFonts w:ascii="Times New Roman" w:eastAsia="Calibri" w:hAnsi="Times New Roman" w:cs="Times New Roman"/>
        </w:rPr>
        <w:t>=</w:t>
      </w:r>
      <w:proofErr w:type="spellStart"/>
      <w:proofErr w:type="gramStart"/>
      <w:r w:rsidRPr="00B9494E">
        <w:rPr>
          <w:rFonts w:ascii="Times New Roman" w:eastAsia="Calibri" w:hAnsi="Times New Roman" w:cs="Times New Roman"/>
          <w:lang w:val="en-US"/>
        </w:rPr>
        <w:t>wL</w:t>
      </w:r>
      <w:proofErr w:type="spellEnd"/>
      <w:r w:rsidRPr="00B9494E">
        <w:rPr>
          <w:rFonts w:ascii="Times New Roman" w:eastAsia="Calibri" w:hAnsi="Times New Roman" w:cs="Times New Roman"/>
        </w:rPr>
        <w:t>+</w:t>
      </w:r>
      <w:proofErr w:type="spellStart"/>
      <w:proofErr w:type="gramEnd"/>
      <w:r w:rsidRPr="00B9494E">
        <w:rPr>
          <w:rFonts w:ascii="Times New Roman" w:eastAsia="Calibri" w:hAnsi="Times New Roman" w:cs="Times New Roman"/>
          <w:lang w:val="en-US"/>
        </w:rPr>
        <w:t>cQ</w:t>
      </w:r>
      <w:proofErr w:type="spellEnd"/>
      <w:r w:rsidRPr="00B9494E">
        <w:rPr>
          <w:rFonts w:ascii="Times New Roman" w:eastAsia="Calibri" w:hAnsi="Times New Roman" w:cs="Times New Roman"/>
        </w:rPr>
        <w:t>→400=20</w:t>
      </w:r>
      <w:r w:rsidRPr="00B9494E">
        <w:rPr>
          <w:rFonts w:ascii="Times New Roman" w:eastAsia="Calibri" w:hAnsi="Times New Roman" w:cs="Times New Roman"/>
          <w:lang w:val="en-US"/>
        </w:rPr>
        <w:t>w</w:t>
      </w:r>
      <w:r w:rsidRPr="00B9494E">
        <w:rPr>
          <w:rFonts w:ascii="Times New Roman" w:eastAsia="Calibri" w:hAnsi="Times New Roman" w:cs="Times New Roman"/>
        </w:rPr>
        <w:t>+2*100→20</w:t>
      </w:r>
      <w:r w:rsidRPr="00B9494E">
        <w:rPr>
          <w:rFonts w:ascii="Times New Roman" w:eastAsia="Calibri" w:hAnsi="Times New Roman" w:cs="Times New Roman"/>
          <w:lang w:val="en-US"/>
        </w:rPr>
        <w:t>w</w:t>
      </w:r>
      <w:r w:rsidRPr="00B9494E">
        <w:rPr>
          <w:rFonts w:ascii="Times New Roman" w:eastAsia="Calibri" w:hAnsi="Times New Roman" w:cs="Times New Roman"/>
        </w:rPr>
        <w:t>=200→</w:t>
      </w:r>
      <w:r w:rsidRPr="00B9494E">
        <w:rPr>
          <w:rFonts w:ascii="Times New Roman" w:eastAsia="Calibri" w:hAnsi="Times New Roman" w:cs="Times New Roman"/>
          <w:lang w:val="en-US"/>
        </w:rPr>
        <w:t>w</w:t>
      </w:r>
      <w:r w:rsidRPr="00B9494E">
        <w:rPr>
          <w:rFonts w:ascii="Times New Roman" w:eastAsia="Calibri" w:hAnsi="Times New Roman" w:cs="Times New Roman"/>
        </w:rPr>
        <w:t>=10χ.μ.</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b/>
        </w:rPr>
        <w:lastRenderedPageBreak/>
        <w:t>Δ</w:t>
      </w:r>
      <w:r w:rsidRPr="00B9494E">
        <w:rPr>
          <w:rFonts w:ascii="Times New Roman" w:eastAsia="Calibri" w:hAnsi="Times New Roman" w:cs="Times New Roman"/>
          <w:b/>
          <w:vertAlign w:val="subscript"/>
        </w:rPr>
        <w:t>2</w:t>
      </w:r>
      <w:r w:rsidRPr="00B9494E">
        <w:rPr>
          <w:rFonts w:ascii="Times New Roman" w:eastAsia="Calibri" w:hAnsi="Times New Roman" w:cs="Times New Roman"/>
        </w:rPr>
        <w:t>.</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lang w:val="en-US"/>
        </w:rPr>
        <w:t>Q</w:t>
      </w:r>
      <w:r w:rsidRPr="00B9494E">
        <w:rPr>
          <w:rFonts w:ascii="Times New Roman" w:eastAsia="Calibri" w:hAnsi="Times New Roman" w:cs="Times New Roman"/>
        </w:rPr>
        <w:t>=100</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Δαπάνη για εργασία=</w:t>
      </w:r>
      <w:proofErr w:type="spellStart"/>
      <w:r w:rsidRPr="00B9494E">
        <w:rPr>
          <w:rFonts w:ascii="Times New Roman" w:eastAsia="Calibri" w:hAnsi="Times New Roman" w:cs="Times New Roman"/>
          <w:lang w:val="en-US"/>
        </w:rPr>
        <w:t>wL</w:t>
      </w:r>
      <w:proofErr w:type="spellEnd"/>
      <w:r w:rsidRPr="00B9494E">
        <w:rPr>
          <w:rFonts w:ascii="Times New Roman" w:eastAsia="Calibri" w:hAnsi="Times New Roman" w:cs="Times New Roman"/>
        </w:rPr>
        <w:t>=10*20=200χ.μ.</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Δαπάνη για πρώτες ύλες=</w:t>
      </w:r>
      <w:proofErr w:type="spellStart"/>
      <w:r w:rsidRPr="00B9494E">
        <w:rPr>
          <w:rFonts w:ascii="Times New Roman" w:eastAsia="Calibri" w:hAnsi="Times New Roman" w:cs="Times New Roman"/>
          <w:lang w:val="en-US"/>
        </w:rPr>
        <w:t>cQ</w:t>
      </w:r>
      <w:proofErr w:type="spellEnd"/>
      <w:r w:rsidRPr="00B9494E">
        <w:rPr>
          <w:rFonts w:ascii="Times New Roman" w:eastAsia="Calibri" w:hAnsi="Times New Roman" w:cs="Times New Roman"/>
        </w:rPr>
        <w:t>=2*100=200χ.μ.</w:t>
      </w:r>
    </w:p>
    <w:p w:rsidR="00B9494E" w:rsidRPr="00B9494E" w:rsidRDefault="00B9494E" w:rsidP="00B9494E">
      <w:pPr>
        <w:rPr>
          <w:rFonts w:ascii="Times New Roman" w:eastAsia="Calibri" w:hAnsi="Times New Roman" w:cs="Times New Roman"/>
          <w:lang w:val="en-US"/>
        </w:rPr>
      </w:pPr>
      <w:r w:rsidRPr="00B9494E">
        <w:rPr>
          <w:rFonts w:ascii="Times New Roman" w:eastAsia="Calibri" w:hAnsi="Times New Roman" w:cs="Times New Roman"/>
          <w:lang w:val="en-US"/>
        </w:rPr>
        <w:t>Q=175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627"/>
        <w:gridCol w:w="627"/>
        <w:gridCol w:w="781"/>
        <w:gridCol w:w="1060"/>
        <w:gridCol w:w="1025"/>
      </w:tblGrid>
      <w:tr w:rsidR="00B9494E" w:rsidRPr="00B9494E" w:rsidTr="00D84791">
        <w:tc>
          <w:tcPr>
            <w:tcW w:w="769"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MP=</w:t>
            </w:r>
          </w:p>
        </w:tc>
        <w:tc>
          <w:tcPr>
            <w:tcW w:w="627" w:type="dxa"/>
          </w:tcPr>
          <w:p w:rsidR="00B9494E" w:rsidRPr="00B9494E" w:rsidRDefault="00B9494E" w:rsidP="00B9494E">
            <w:pPr>
              <w:jc w:val="center"/>
              <w:rPr>
                <w:rFonts w:ascii="Times New Roman" w:eastAsia="Calibri" w:hAnsi="Times New Roman" w:cs="Times New Roman"/>
              </w:rPr>
            </w:pPr>
          </w:p>
        </w:tc>
        <w:tc>
          <w:tcPr>
            <w:tcW w:w="627"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rPr>
              <w:t>Δ</w:t>
            </w:r>
            <w:r w:rsidRPr="00B9494E">
              <w:rPr>
                <w:rFonts w:ascii="Times New Roman" w:eastAsia="Calibri" w:hAnsi="Times New Roman" w:cs="Times New Roman"/>
                <w:lang w:val="en-US"/>
              </w:rPr>
              <w:t>Q</w:t>
            </w:r>
          </w:p>
        </w:tc>
        <w:tc>
          <w:tcPr>
            <w:tcW w:w="781"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w:t>
            </w:r>
          </w:p>
        </w:tc>
        <w:tc>
          <w:tcPr>
            <w:tcW w:w="1060" w:type="dxa"/>
            <w:tcBorders>
              <w:bottom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175-170</w:t>
            </w:r>
          </w:p>
        </w:tc>
        <w:tc>
          <w:tcPr>
            <w:tcW w:w="1025" w:type="dxa"/>
            <w:vMerge w:val="restart"/>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→L=45</w:t>
            </w:r>
          </w:p>
        </w:tc>
      </w:tr>
      <w:tr w:rsidR="00B9494E" w:rsidRPr="00B9494E" w:rsidTr="00D84791">
        <w:tc>
          <w:tcPr>
            <w:tcW w:w="769" w:type="dxa"/>
            <w:vMerge/>
            <w:vAlign w:val="center"/>
          </w:tcPr>
          <w:p w:rsidR="00B9494E" w:rsidRPr="00B9494E" w:rsidRDefault="00B9494E" w:rsidP="00B9494E">
            <w:pPr>
              <w:jc w:val="center"/>
              <w:rPr>
                <w:rFonts w:ascii="Times New Roman" w:eastAsia="Calibri" w:hAnsi="Times New Roman" w:cs="Times New Roman"/>
                <w:lang w:val="en-US"/>
              </w:rPr>
            </w:pPr>
          </w:p>
        </w:tc>
        <w:tc>
          <w:tcPr>
            <w:tcW w:w="627" w:type="dxa"/>
          </w:tcPr>
          <w:p w:rsidR="00B9494E" w:rsidRPr="00B9494E" w:rsidRDefault="00B9494E" w:rsidP="00B9494E">
            <w:pPr>
              <w:jc w:val="center"/>
              <w:rPr>
                <w:rFonts w:ascii="Times New Roman" w:eastAsia="Calibri" w:hAnsi="Times New Roman" w:cs="Times New Roman"/>
              </w:rPr>
            </w:pPr>
          </w:p>
        </w:tc>
        <w:tc>
          <w:tcPr>
            <w:tcW w:w="627"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rPr>
              <w:t>Δ</w:t>
            </w:r>
            <w:r w:rsidRPr="00B9494E">
              <w:rPr>
                <w:rFonts w:ascii="Times New Roman" w:eastAsia="Calibri" w:hAnsi="Times New Roman" w:cs="Times New Roman"/>
                <w:lang w:val="en-US"/>
              </w:rPr>
              <w:t>L</w:t>
            </w:r>
          </w:p>
        </w:tc>
        <w:tc>
          <w:tcPr>
            <w:tcW w:w="781" w:type="dxa"/>
            <w:vMerge/>
            <w:vAlign w:val="center"/>
          </w:tcPr>
          <w:p w:rsidR="00B9494E" w:rsidRPr="00B9494E" w:rsidRDefault="00B9494E" w:rsidP="00B9494E">
            <w:pPr>
              <w:jc w:val="center"/>
              <w:rPr>
                <w:rFonts w:ascii="Times New Roman" w:eastAsia="Calibri" w:hAnsi="Times New Roman" w:cs="Times New Roman"/>
                <w:lang w:val="en-US"/>
              </w:rPr>
            </w:pPr>
          </w:p>
        </w:tc>
        <w:tc>
          <w:tcPr>
            <w:tcW w:w="1060" w:type="dxa"/>
            <w:tcBorders>
              <w:top w:val="single" w:sz="4" w:space="0" w:color="auto"/>
            </w:tcBorders>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L-40</w:t>
            </w:r>
          </w:p>
        </w:tc>
        <w:tc>
          <w:tcPr>
            <w:tcW w:w="1025" w:type="dxa"/>
            <w:vMerge/>
            <w:vAlign w:val="center"/>
          </w:tcPr>
          <w:p w:rsidR="00B9494E" w:rsidRPr="00B9494E" w:rsidRDefault="00B9494E" w:rsidP="00B9494E">
            <w:pPr>
              <w:jc w:val="center"/>
              <w:rPr>
                <w:rFonts w:ascii="Times New Roman" w:eastAsia="Calibri" w:hAnsi="Times New Roman" w:cs="Times New Roman"/>
                <w:lang w:val="en-US"/>
              </w:rPr>
            </w:pPr>
          </w:p>
        </w:tc>
      </w:tr>
    </w:tbl>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Δαπάνη για εργασία=</w:t>
      </w:r>
      <w:proofErr w:type="spellStart"/>
      <w:r w:rsidRPr="00B9494E">
        <w:rPr>
          <w:rFonts w:ascii="Times New Roman" w:eastAsia="Calibri" w:hAnsi="Times New Roman" w:cs="Times New Roman"/>
          <w:lang w:val="en-US"/>
        </w:rPr>
        <w:t>wL</w:t>
      </w:r>
      <w:proofErr w:type="spellEnd"/>
      <w:r w:rsidRPr="00B9494E">
        <w:rPr>
          <w:rFonts w:ascii="Times New Roman" w:eastAsia="Calibri" w:hAnsi="Times New Roman" w:cs="Times New Roman"/>
        </w:rPr>
        <w:t>=10*45=450χ.μ.</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Δαπάνη για πρώτες ύλες=</w:t>
      </w:r>
      <w:proofErr w:type="spellStart"/>
      <w:r w:rsidRPr="00B9494E">
        <w:rPr>
          <w:rFonts w:ascii="Times New Roman" w:eastAsia="Calibri" w:hAnsi="Times New Roman" w:cs="Times New Roman"/>
          <w:lang w:val="en-US"/>
        </w:rPr>
        <w:t>cQ</w:t>
      </w:r>
      <w:proofErr w:type="spellEnd"/>
      <w:r w:rsidRPr="00B9494E">
        <w:rPr>
          <w:rFonts w:ascii="Times New Roman" w:eastAsia="Calibri" w:hAnsi="Times New Roman" w:cs="Times New Roman"/>
        </w:rPr>
        <w:t>=2*175=350χ.μ.</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α) Η δαπάνη για εργασία αυξήθηκε κατά: 450-200=250χ.μ.</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β) Η δαπάνη για πρώτες ύλες αυξήθηκε κατά: 350-200=150χ.μ.</w:t>
      </w:r>
    </w:p>
    <w:p w:rsidR="00F3652F" w:rsidRDefault="00F3652F" w:rsidP="00F3652F">
      <w:pPr>
        <w:pStyle w:val="Default"/>
        <w:rPr>
          <w:sz w:val="22"/>
          <w:szCs w:val="22"/>
        </w:rPr>
      </w:pPr>
      <w:r>
        <w:rPr>
          <w:b/>
          <w:bCs/>
          <w:sz w:val="22"/>
          <w:szCs w:val="22"/>
        </w:rPr>
        <w:t xml:space="preserve">Δ3.α. </w:t>
      </w:r>
    </w:p>
    <w:p w:rsidR="00F3652F" w:rsidRPr="00F3652F" w:rsidRDefault="00F3652F" w:rsidP="00F3652F">
      <w:pPr>
        <w:pStyle w:val="Default"/>
        <w:jc w:val="both"/>
        <w:rPr>
          <w:rFonts w:ascii="Times New Roman" w:hAnsi="Times New Roman" w:cs="Times New Roman"/>
          <w:sz w:val="22"/>
          <w:szCs w:val="22"/>
        </w:rPr>
      </w:pPr>
      <w:r w:rsidRPr="00F3652F">
        <w:rPr>
          <w:rFonts w:ascii="Times New Roman" w:hAnsi="Times New Roman" w:cs="Times New Roman"/>
          <w:sz w:val="22"/>
          <w:szCs w:val="22"/>
        </w:rPr>
        <w:t xml:space="preserve">Ο νόμος της φθίνουσας ή μη ανάλογης απόδοσης ισχύει στη βραχυχρόνια περίοδο παραγωγής, δηλαδή στην περίοδο που υπάρχει ένας τουλάχιστον σταθερός παραγωγικός συντελεστής. Η επιχείρηση </w:t>
      </w:r>
      <w:proofErr w:type="spellStart"/>
      <w:r w:rsidRPr="00F3652F">
        <w:rPr>
          <w:rFonts w:ascii="Times New Roman" w:hAnsi="Times New Roman" w:cs="Times New Roman"/>
          <w:sz w:val="22"/>
          <w:szCs w:val="22"/>
        </w:rPr>
        <w:t>χρησιμοιεί</w:t>
      </w:r>
      <w:proofErr w:type="spellEnd"/>
      <w:r w:rsidRPr="00F3652F">
        <w:rPr>
          <w:rFonts w:ascii="Times New Roman" w:hAnsi="Times New Roman" w:cs="Times New Roman"/>
          <w:sz w:val="22"/>
          <w:szCs w:val="22"/>
        </w:rPr>
        <w:t xml:space="preserve"> σταθερούς και μεταβλητούς συντελεστές και ως αποτέλεσμα το οριακό προϊόν μειώνεται. </w:t>
      </w:r>
    </w:p>
    <w:p w:rsidR="00F3652F" w:rsidRDefault="0078182A" w:rsidP="00F3652F">
      <w:pPr>
        <w:jc w:val="both"/>
        <w:rPr>
          <w:rFonts w:ascii="Times New Roman" w:hAnsi="Times New Roman" w:cs="Times New Roman"/>
        </w:rPr>
      </w:pPr>
      <w:r w:rsidRPr="0011346B">
        <w:rPr>
          <w:rFonts w:ascii="Times New Roman" w:hAnsi="Times New Roman" w:cs="Times New Roman"/>
          <w:b/>
          <w:bCs/>
        </w:rPr>
        <w:t>Δ3</w:t>
      </w:r>
      <w:r w:rsidR="0011346B" w:rsidRPr="0011346B">
        <w:rPr>
          <w:rFonts w:ascii="Times New Roman" w:hAnsi="Times New Roman" w:cs="Times New Roman"/>
          <w:b/>
          <w:bCs/>
        </w:rPr>
        <w:t>.</w:t>
      </w:r>
      <w:r w:rsidRPr="0011346B">
        <w:rPr>
          <w:rFonts w:ascii="Times New Roman" w:hAnsi="Times New Roman" w:cs="Times New Roman"/>
          <w:b/>
          <w:bCs/>
        </w:rPr>
        <w:t>β</w:t>
      </w:r>
      <w:r w:rsidR="00F3652F" w:rsidRPr="0011346B">
        <w:rPr>
          <w:rFonts w:ascii="Times New Roman" w:hAnsi="Times New Roman" w:cs="Times New Roman"/>
          <w:b/>
          <w:bCs/>
        </w:rPr>
        <w:t xml:space="preserve"> </w:t>
      </w:r>
      <w:r w:rsidR="00F3652F" w:rsidRPr="00F3652F">
        <w:rPr>
          <w:rFonts w:ascii="Times New Roman" w:hAnsi="Times New Roman" w:cs="Times New Roman"/>
        </w:rPr>
        <w:t xml:space="preserve">Ο νόμος της φθίνουσας απόδοσης είναι μια εμπειρική διαπίστωση που ισχύει για κάθε παραγωγική διαδικασία. Ο νόμος αυτός ισχύει, επειδή </w:t>
      </w:r>
      <w:r w:rsidR="00F3652F" w:rsidRPr="00F3652F">
        <w:rPr>
          <w:rFonts w:ascii="Times New Roman" w:hAnsi="Times New Roman" w:cs="Times New Roman"/>
          <w:b/>
          <w:bCs/>
        </w:rPr>
        <w:t xml:space="preserve">μεταβάλλονται οι αναλογίες </w:t>
      </w:r>
      <w:r w:rsidR="00F3652F" w:rsidRPr="00F3652F">
        <w:rPr>
          <w:rFonts w:ascii="Times New Roman" w:hAnsi="Times New Roman" w:cs="Times New Roman"/>
        </w:rPr>
        <w:t xml:space="preserve">που υ- </w:t>
      </w:r>
      <w:proofErr w:type="spellStart"/>
      <w:r w:rsidR="00F3652F" w:rsidRPr="00F3652F">
        <w:rPr>
          <w:rFonts w:ascii="Times New Roman" w:hAnsi="Times New Roman" w:cs="Times New Roman"/>
        </w:rPr>
        <w:t>πάρχουν</w:t>
      </w:r>
      <w:proofErr w:type="spellEnd"/>
      <w:r w:rsidR="00F3652F" w:rsidRPr="00F3652F">
        <w:rPr>
          <w:rFonts w:ascii="Times New Roman" w:hAnsi="Times New Roman" w:cs="Times New Roman"/>
        </w:rPr>
        <w:t xml:space="preserve"> κάθε φορά ανάμεσα στους σταθερούς και μεταβλητούς συντελεστές. </w:t>
      </w:r>
    </w:p>
    <w:p w:rsidR="00F3652F" w:rsidRDefault="00F3652F" w:rsidP="00F3652F">
      <w:pPr>
        <w:jc w:val="both"/>
        <w:rPr>
          <w:rFonts w:ascii="Times New Roman" w:hAnsi="Times New Roman" w:cs="Times New Roman"/>
        </w:rPr>
      </w:pPr>
      <w:r>
        <w:rPr>
          <w:rFonts w:ascii="Times New Roman" w:hAnsi="Times New Roman" w:cs="Times New Roman"/>
        </w:rPr>
        <w:t>Ισχύει με την προσθήκη του 31 εργαζόμενου διότι το οριακό προϊόν μειώνεται.</w:t>
      </w:r>
    </w:p>
    <w:p w:rsidR="00B9494E" w:rsidRPr="00B9494E" w:rsidRDefault="00B9494E" w:rsidP="0078182A">
      <w:pPr>
        <w:pStyle w:val="Default"/>
        <w:rPr>
          <w:b/>
          <w:bCs/>
          <w:sz w:val="22"/>
          <w:szCs w:val="22"/>
        </w:rPr>
      </w:pPr>
      <w:r w:rsidRPr="00B9494E">
        <w:rPr>
          <w:b/>
          <w:bCs/>
          <w:sz w:val="22"/>
          <w:szCs w:val="22"/>
        </w:rPr>
        <w:t>Δ4.</w:t>
      </w:r>
    </w:p>
    <w:p w:rsidR="00B9494E" w:rsidRDefault="00B9494E" w:rsidP="00F3652F">
      <w:pPr>
        <w:jc w:val="both"/>
        <w:rPr>
          <w:rFonts w:ascii="Times New Roman" w:eastAsia="Calibri" w:hAnsi="Times New Roman" w:cs="Times New Roman"/>
        </w:rPr>
      </w:pPr>
      <w:r w:rsidRPr="00B9494E">
        <w:rPr>
          <w:rFonts w:ascii="Times New Roman" w:eastAsia="Calibri" w:hAnsi="Times New Roman" w:cs="Times New Roman"/>
        </w:rPr>
        <w:t xml:space="preserve">α) Η καμπύλη προσφοράς της επιχείρησης ταυτίζεται με το ανερχόμενο τμήμα της καμπύλης του οριακού κόστους, από το σημείο όπου </w:t>
      </w:r>
      <w:r w:rsidRPr="00B9494E">
        <w:rPr>
          <w:rFonts w:ascii="Times New Roman" w:eastAsia="Calibri" w:hAnsi="Times New Roman" w:cs="Times New Roman"/>
          <w:lang w:val="en-US"/>
        </w:rPr>
        <w:t>MC</w:t>
      </w:r>
      <w:r w:rsidRPr="00B9494E">
        <w:rPr>
          <w:rFonts w:ascii="Times New Roman" w:eastAsia="Calibri" w:hAnsi="Times New Roman" w:cs="Times New Roman"/>
        </w:rPr>
        <w:t>≥</w:t>
      </w:r>
      <w:r w:rsidRPr="00B9494E">
        <w:rPr>
          <w:rFonts w:ascii="Times New Roman" w:eastAsia="Calibri" w:hAnsi="Times New Roman" w:cs="Times New Roman"/>
          <w:lang w:val="en-US"/>
        </w:rPr>
        <w:t>AVC</w:t>
      </w:r>
      <w:r w:rsidRPr="00B9494E">
        <w:rPr>
          <w:rFonts w:ascii="Times New Roman" w:eastAsia="Calibri" w:hAnsi="Times New Roman" w:cs="Times New Roman"/>
        </w:rPr>
        <w:t xml:space="preserve">, δηλαδή όταν </w:t>
      </w:r>
      <w:r w:rsidRPr="00B9494E">
        <w:rPr>
          <w:rFonts w:ascii="Times New Roman" w:eastAsia="Calibri" w:hAnsi="Times New Roman" w:cs="Times New Roman"/>
          <w:lang w:val="en-US"/>
        </w:rPr>
        <w:t>Q</w:t>
      </w:r>
      <w:r w:rsidRPr="00B9494E">
        <w:rPr>
          <w:rFonts w:ascii="Times New Roman" w:eastAsia="Calibri" w:hAnsi="Times New Roman" w:cs="Times New Roman"/>
        </w:rPr>
        <w:t>=160 μονάδες.</w:t>
      </w:r>
    </w:p>
    <w:tbl>
      <w:tblPr>
        <w:tblStyle w:val="TableGrid"/>
        <w:tblW w:w="0" w:type="auto"/>
        <w:tblLook w:val="04A0" w:firstRow="1" w:lastRow="0" w:firstColumn="1" w:lastColumn="0" w:noHBand="0" w:noVBand="1"/>
      </w:tblPr>
      <w:tblGrid>
        <w:gridCol w:w="546"/>
        <w:gridCol w:w="1196"/>
        <w:gridCol w:w="2631"/>
      </w:tblGrid>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Ρ</w:t>
            </w:r>
          </w:p>
        </w:tc>
        <w:tc>
          <w:tcPr>
            <w:tcW w:w="1196" w:type="dxa"/>
            <w:vAlign w:val="center"/>
          </w:tcPr>
          <w:p w:rsidR="00B9494E" w:rsidRPr="00B9494E" w:rsidRDefault="00B9494E" w:rsidP="00B9494E">
            <w:pPr>
              <w:jc w:val="center"/>
              <w:rPr>
                <w:rFonts w:ascii="Times New Roman" w:eastAsia="Calibri" w:hAnsi="Times New Roman" w:cs="Times New Roman"/>
              </w:rPr>
            </w:pPr>
            <w:proofErr w:type="gramStart"/>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S</w:t>
            </w:r>
            <w:r w:rsidRPr="00B9494E">
              <w:rPr>
                <w:rFonts w:ascii="Times New Roman" w:eastAsia="Calibri" w:hAnsi="Times New Roman" w:cs="Times New Roman"/>
                <w:lang w:val="en-US"/>
              </w:rPr>
              <w:t>(</w:t>
            </w:r>
            <w:proofErr w:type="spellStart"/>
            <w:proofErr w:type="gramEnd"/>
            <w:r w:rsidRPr="00B9494E">
              <w:rPr>
                <w:rFonts w:ascii="Times New Roman" w:eastAsia="Calibri" w:hAnsi="Times New Roman" w:cs="Times New Roman"/>
              </w:rPr>
              <w:t>ατομ</w:t>
            </w:r>
            <w:proofErr w:type="spellEnd"/>
            <w:r w:rsidRPr="00B9494E">
              <w:rPr>
                <w:rFonts w:ascii="Times New Roman" w:eastAsia="Calibri" w:hAnsi="Times New Roman" w:cs="Times New Roman"/>
              </w:rPr>
              <w:t>.)</w:t>
            </w:r>
          </w:p>
        </w:tc>
        <w:tc>
          <w:tcPr>
            <w:tcW w:w="2631" w:type="dxa"/>
            <w:vAlign w:val="center"/>
          </w:tcPr>
          <w:p w:rsidR="00B9494E" w:rsidRPr="00B9494E" w:rsidRDefault="00B9494E" w:rsidP="00B9494E">
            <w:pPr>
              <w:jc w:val="center"/>
              <w:rPr>
                <w:rFonts w:ascii="Times New Roman" w:eastAsia="Calibri" w:hAnsi="Times New Roman" w:cs="Times New Roman"/>
              </w:rPr>
            </w:pPr>
            <w:proofErr w:type="gramStart"/>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S</w:t>
            </w:r>
            <w:r w:rsidRPr="00B9494E">
              <w:rPr>
                <w:rFonts w:ascii="Times New Roman" w:eastAsia="Calibri" w:hAnsi="Times New Roman" w:cs="Times New Roman"/>
              </w:rPr>
              <w:t>(</w:t>
            </w:r>
            <w:proofErr w:type="gramEnd"/>
            <w:r w:rsidRPr="00B9494E">
              <w:rPr>
                <w:rFonts w:ascii="Times New Roman" w:eastAsia="Calibri" w:hAnsi="Times New Roman" w:cs="Times New Roman"/>
              </w:rPr>
              <w:t>αγορ.)=200*</w:t>
            </w:r>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S</w:t>
            </w:r>
            <w:r w:rsidRPr="00B9494E">
              <w:rPr>
                <w:rFonts w:ascii="Times New Roman" w:eastAsia="Calibri" w:hAnsi="Times New Roman" w:cs="Times New Roman"/>
                <w:lang w:val="en-US"/>
              </w:rPr>
              <w:t>(</w:t>
            </w:r>
            <w:proofErr w:type="spellStart"/>
            <w:r w:rsidRPr="00B9494E">
              <w:rPr>
                <w:rFonts w:ascii="Times New Roman" w:eastAsia="Calibri" w:hAnsi="Times New Roman" w:cs="Times New Roman"/>
              </w:rPr>
              <w:t>ατομ</w:t>
            </w:r>
            <w:proofErr w:type="spellEnd"/>
            <w:r w:rsidRPr="00B9494E">
              <w:rPr>
                <w:rFonts w:ascii="Times New Roman" w:eastAsia="Calibri" w:hAnsi="Times New Roman" w:cs="Times New Roman"/>
              </w:rPr>
              <w:t>.)</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4</w:t>
            </w:r>
          </w:p>
        </w:tc>
        <w:tc>
          <w:tcPr>
            <w:tcW w:w="1196"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150</w:t>
            </w:r>
          </w:p>
        </w:tc>
        <w:tc>
          <w:tcPr>
            <w:tcW w:w="2631"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30.000</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7</w:t>
            </w:r>
          </w:p>
        </w:tc>
        <w:tc>
          <w:tcPr>
            <w:tcW w:w="1196"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170</w:t>
            </w:r>
          </w:p>
        </w:tc>
        <w:tc>
          <w:tcPr>
            <w:tcW w:w="2631"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34.000</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12</w:t>
            </w:r>
          </w:p>
        </w:tc>
        <w:tc>
          <w:tcPr>
            <w:tcW w:w="1196"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180</w:t>
            </w:r>
          </w:p>
        </w:tc>
        <w:tc>
          <w:tcPr>
            <w:tcW w:w="2631" w:type="dxa"/>
            <w:vAlign w:val="center"/>
          </w:tcPr>
          <w:p w:rsidR="00B9494E" w:rsidRPr="00B9494E" w:rsidRDefault="00B9494E" w:rsidP="00B9494E">
            <w:pPr>
              <w:jc w:val="center"/>
              <w:rPr>
                <w:rFonts w:ascii="Times New Roman" w:eastAsia="Calibri" w:hAnsi="Times New Roman" w:cs="Times New Roman"/>
              </w:rPr>
            </w:pPr>
            <w:r w:rsidRPr="00B9494E">
              <w:rPr>
                <w:rFonts w:ascii="Times New Roman" w:eastAsia="Calibri" w:hAnsi="Times New Roman" w:cs="Times New Roman"/>
              </w:rPr>
              <w:t>36.000</w:t>
            </w:r>
          </w:p>
        </w:tc>
      </w:tr>
    </w:tbl>
    <w:p w:rsidR="00B9494E" w:rsidRPr="00B9494E" w:rsidRDefault="00B9494E" w:rsidP="00B9494E">
      <w:pPr>
        <w:rPr>
          <w:rFonts w:ascii="Times New Roman" w:eastAsia="Calibri" w:hAnsi="Times New Roman" w:cs="Times New Roman"/>
        </w:rPr>
      </w:pPr>
    </w:p>
    <w:p w:rsidR="00B9494E" w:rsidRPr="00B9494E" w:rsidRDefault="00B9494E" w:rsidP="00B9494E">
      <w:pPr>
        <w:rPr>
          <w:rFonts w:ascii="Times New Roman" w:eastAsia="Calibri" w:hAnsi="Times New Roman" w:cs="Times New Roman"/>
          <w:lang w:val="en-US"/>
        </w:rPr>
      </w:pPr>
      <w:r w:rsidRPr="00B9494E">
        <w:rPr>
          <w:rFonts w:ascii="Times New Roman" w:eastAsia="Calibri" w:hAnsi="Times New Roman" w:cs="Times New Roman"/>
        </w:rPr>
        <w:t xml:space="preserve">β) </w:t>
      </w:r>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D</w:t>
      </w:r>
      <w:r w:rsidRPr="00B9494E">
        <w:rPr>
          <w:rFonts w:ascii="Times New Roman" w:eastAsia="Calibri" w:hAnsi="Times New Roman" w:cs="Times New Roman"/>
          <w:lang w:val="en-US"/>
        </w:rPr>
        <w:t>=60.000-200P</w:t>
      </w:r>
    </w:p>
    <w:tbl>
      <w:tblPr>
        <w:tblStyle w:val="TableGrid"/>
        <w:tblW w:w="0" w:type="auto"/>
        <w:tblLook w:val="04A0" w:firstRow="1" w:lastRow="0" w:firstColumn="1" w:lastColumn="0" w:noHBand="0" w:noVBand="1"/>
      </w:tblPr>
      <w:tblGrid>
        <w:gridCol w:w="546"/>
        <w:gridCol w:w="931"/>
      </w:tblGrid>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P</w:t>
            </w:r>
          </w:p>
        </w:tc>
        <w:tc>
          <w:tcPr>
            <w:tcW w:w="93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D</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w:t>
            </w:r>
          </w:p>
        </w:tc>
        <w:tc>
          <w:tcPr>
            <w:tcW w:w="93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52.000</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7</w:t>
            </w:r>
          </w:p>
        </w:tc>
        <w:tc>
          <w:tcPr>
            <w:tcW w:w="93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46.000</w:t>
            </w:r>
          </w:p>
        </w:tc>
      </w:tr>
      <w:tr w:rsidR="00B9494E" w:rsidRPr="00B9494E" w:rsidTr="00D84791">
        <w:tc>
          <w:tcPr>
            <w:tcW w:w="546"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12</w:t>
            </w:r>
          </w:p>
        </w:tc>
        <w:tc>
          <w:tcPr>
            <w:tcW w:w="931" w:type="dxa"/>
            <w:vAlign w:val="center"/>
          </w:tcPr>
          <w:p w:rsidR="00B9494E" w:rsidRPr="00B9494E" w:rsidRDefault="00B9494E" w:rsidP="00B9494E">
            <w:pPr>
              <w:jc w:val="center"/>
              <w:rPr>
                <w:rFonts w:ascii="Times New Roman" w:eastAsia="Calibri" w:hAnsi="Times New Roman" w:cs="Times New Roman"/>
                <w:lang w:val="en-US"/>
              </w:rPr>
            </w:pPr>
            <w:r w:rsidRPr="00B9494E">
              <w:rPr>
                <w:rFonts w:ascii="Times New Roman" w:eastAsia="Calibri" w:hAnsi="Times New Roman" w:cs="Times New Roman"/>
                <w:lang w:val="en-US"/>
              </w:rPr>
              <w:t>36.000</w:t>
            </w:r>
          </w:p>
        </w:tc>
      </w:tr>
    </w:tbl>
    <w:p w:rsidR="00B9494E" w:rsidRPr="00B9494E" w:rsidRDefault="00B9494E" w:rsidP="00B9494E">
      <w:pPr>
        <w:rPr>
          <w:rFonts w:ascii="Times New Roman" w:eastAsia="Calibri" w:hAnsi="Times New Roman" w:cs="Times New Roman"/>
          <w:lang w:val="en-US"/>
        </w:rPr>
      </w:pP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Επομένως Ρ</w:t>
      </w:r>
      <w:r w:rsidRPr="00B9494E">
        <w:rPr>
          <w:rFonts w:ascii="Times New Roman" w:eastAsia="Calibri" w:hAnsi="Times New Roman" w:cs="Times New Roman"/>
          <w:vertAlign w:val="subscript"/>
        </w:rPr>
        <w:t>ισορ.</w:t>
      </w:r>
      <w:r w:rsidRPr="00B9494E">
        <w:rPr>
          <w:rFonts w:ascii="Times New Roman" w:eastAsia="Calibri" w:hAnsi="Times New Roman" w:cs="Times New Roman"/>
        </w:rPr>
        <w:t>=12χ.μ.</w:t>
      </w:r>
    </w:p>
    <w:p w:rsidR="00B9494E" w:rsidRPr="00B9494E" w:rsidRDefault="00B9494E" w:rsidP="00B9494E">
      <w:pPr>
        <w:rPr>
          <w:rFonts w:ascii="Times New Roman" w:eastAsia="Calibri" w:hAnsi="Times New Roman" w:cs="Times New Roman"/>
        </w:rPr>
      </w:pPr>
      <w:r w:rsidRPr="00B9494E">
        <w:rPr>
          <w:rFonts w:ascii="Times New Roman" w:eastAsia="Calibri" w:hAnsi="Times New Roman" w:cs="Times New Roman"/>
        </w:rPr>
        <w:t xml:space="preserve">Όπου </w:t>
      </w:r>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D</w:t>
      </w:r>
      <w:r w:rsidRPr="00B9494E">
        <w:rPr>
          <w:rFonts w:ascii="Times New Roman" w:eastAsia="Calibri" w:hAnsi="Times New Roman" w:cs="Times New Roman"/>
        </w:rPr>
        <w:t>(</w:t>
      </w:r>
      <w:proofErr w:type="spellStart"/>
      <w:r w:rsidRPr="00B9494E">
        <w:rPr>
          <w:rFonts w:ascii="Times New Roman" w:eastAsia="Calibri" w:hAnsi="Times New Roman" w:cs="Times New Roman"/>
        </w:rPr>
        <w:t>αγορ</w:t>
      </w:r>
      <w:proofErr w:type="spellEnd"/>
      <w:r w:rsidRPr="00B9494E">
        <w:rPr>
          <w:rFonts w:ascii="Times New Roman" w:eastAsia="Calibri" w:hAnsi="Times New Roman" w:cs="Times New Roman"/>
        </w:rPr>
        <w:t>.)=</w:t>
      </w:r>
      <w:proofErr w:type="gramStart"/>
      <w:r w:rsidRPr="00B9494E">
        <w:rPr>
          <w:rFonts w:ascii="Times New Roman" w:eastAsia="Calibri" w:hAnsi="Times New Roman" w:cs="Times New Roman"/>
          <w:lang w:val="en-US"/>
        </w:rPr>
        <w:t>Q</w:t>
      </w:r>
      <w:r w:rsidRPr="00B9494E">
        <w:rPr>
          <w:rFonts w:ascii="Times New Roman" w:eastAsia="Calibri" w:hAnsi="Times New Roman" w:cs="Times New Roman"/>
          <w:vertAlign w:val="subscript"/>
          <w:lang w:val="en-US"/>
        </w:rPr>
        <w:t>S</w:t>
      </w:r>
      <w:r w:rsidRPr="00B9494E">
        <w:rPr>
          <w:rFonts w:ascii="Times New Roman" w:eastAsia="Calibri" w:hAnsi="Times New Roman" w:cs="Times New Roman"/>
        </w:rPr>
        <w:t>(</w:t>
      </w:r>
      <w:proofErr w:type="gramEnd"/>
      <w:r w:rsidRPr="00B9494E">
        <w:rPr>
          <w:rFonts w:ascii="Times New Roman" w:eastAsia="Calibri" w:hAnsi="Times New Roman" w:cs="Times New Roman"/>
        </w:rPr>
        <w:t>αγορ.)=36.000 μον.=</w:t>
      </w:r>
      <w:proofErr w:type="gramStart"/>
      <w:r w:rsidRPr="00B9494E">
        <w:rPr>
          <w:rFonts w:ascii="Times New Roman" w:eastAsia="Calibri" w:hAnsi="Times New Roman" w:cs="Times New Roman"/>
          <w:lang w:val="en-US"/>
        </w:rPr>
        <w:t>Q</w:t>
      </w:r>
      <w:proofErr w:type="spellStart"/>
      <w:r w:rsidRPr="00B9494E">
        <w:rPr>
          <w:rFonts w:ascii="Times New Roman" w:eastAsia="Calibri" w:hAnsi="Times New Roman" w:cs="Times New Roman"/>
          <w:vertAlign w:val="subscript"/>
        </w:rPr>
        <w:t>ισορ</w:t>
      </w:r>
      <w:proofErr w:type="spellEnd"/>
      <w:r w:rsidRPr="00B9494E">
        <w:rPr>
          <w:rFonts w:ascii="Times New Roman" w:eastAsia="Calibri" w:hAnsi="Times New Roman" w:cs="Times New Roman"/>
          <w:vertAlign w:val="subscript"/>
        </w:rPr>
        <w:t>.</w:t>
      </w:r>
      <w:proofErr w:type="gramEnd"/>
    </w:p>
    <w:p w:rsidR="00B9494E" w:rsidRPr="00B9494E" w:rsidRDefault="00B9494E" w:rsidP="00473282">
      <w:bookmarkStart w:id="0" w:name="_GoBack"/>
      <w:bookmarkEnd w:id="0"/>
    </w:p>
    <w:sectPr w:rsidR="00B9494E" w:rsidRPr="00B9494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57" w:rsidRDefault="003E6357" w:rsidP="00443AFD">
      <w:pPr>
        <w:spacing w:after="0" w:line="240" w:lineRule="auto"/>
      </w:pPr>
      <w:r>
        <w:separator/>
      </w:r>
    </w:p>
  </w:endnote>
  <w:endnote w:type="continuationSeparator" w:id="0">
    <w:p w:rsidR="003E6357" w:rsidRDefault="003E6357" w:rsidP="0044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FD" w:rsidRPr="00443AFD" w:rsidRDefault="00443AFD">
    <w:pPr>
      <w:pStyle w:val="Footer"/>
      <w:rPr>
        <w:lang w:val="en-US"/>
      </w:rPr>
    </w:pPr>
    <w:r>
      <w:t xml:space="preserve">Επιμέλεια Θάνος Χατζής – Οικονομολόγος </w:t>
    </w:r>
    <w:r>
      <w:rPr>
        <w:lang w:val="en-US"/>
      </w:rPr>
      <w:t>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57" w:rsidRDefault="003E6357" w:rsidP="00443AFD">
      <w:pPr>
        <w:spacing w:after="0" w:line="240" w:lineRule="auto"/>
      </w:pPr>
      <w:r>
        <w:separator/>
      </w:r>
    </w:p>
  </w:footnote>
  <w:footnote w:type="continuationSeparator" w:id="0">
    <w:p w:rsidR="003E6357" w:rsidRDefault="003E6357" w:rsidP="00443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3E"/>
    <w:rsid w:val="0011346B"/>
    <w:rsid w:val="003E6357"/>
    <w:rsid w:val="00443AFD"/>
    <w:rsid w:val="00473282"/>
    <w:rsid w:val="006361D3"/>
    <w:rsid w:val="006B0623"/>
    <w:rsid w:val="0078182A"/>
    <w:rsid w:val="00AF5F3E"/>
    <w:rsid w:val="00B812BE"/>
    <w:rsid w:val="00B9494E"/>
    <w:rsid w:val="00C7017C"/>
    <w:rsid w:val="00E24144"/>
    <w:rsid w:val="00E32B41"/>
    <w:rsid w:val="00EF15A9"/>
    <w:rsid w:val="00F365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5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3E"/>
    <w:rPr>
      <w:rFonts w:ascii="Tahoma" w:hAnsi="Tahoma" w:cs="Tahoma"/>
      <w:sz w:val="16"/>
      <w:szCs w:val="16"/>
    </w:rPr>
  </w:style>
  <w:style w:type="paragraph" w:customStyle="1" w:styleId="Default">
    <w:name w:val="Default"/>
    <w:rsid w:val="006B062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43A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AFD"/>
  </w:style>
  <w:style w:type="paragraph" w:styleId="Footer">
    <w:name w:val="footer"/>
    <w:basedOn w:val="Normal"/>
    <w:link w:val="FooterChar"/>
    <w:uiPriority w:val="99"/>
    <w:unhideWhenUsed/>
    <w:rsid w:val="00443A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3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5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3E"/>
    <w:rPr>
      <w:rFonts w:ascii="Tahoma" w:hAnsi="Tahoma" w:cs="Tahoma"/>
      <w:sz w:val="16"/>
      <w:szCs w:val="16"/>
    </w:rPr>
  </w:style>
  <w:style w:type="paragraph" w:customStyle="1" w:styleId="Default">
    <w:name w:val="Default"/>
    <w:rsid w:val="006B062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43A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AFD"/>
  </w:style>
  <w:style w:type="paragraph" w:styleId="Footer">
    <w:name w:val="footer"/>
    <w:basedOn w:val="Normal"/>
    <w:link w:val="FooterChar"/>
    <w:uiPriority w:val="99"/>
    <w:unhideWhenUsed/>
    <w:rsid w:val="00443A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893</Words>
  <Characters>4825</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2019-06-14T15:39:00Z</dcterms:created>
  <dcterms:modified xsi:type="dcterms:W3CDTF">2019-06-14T15:57:00Z</dcterms:modified>
</cp:coreProperties>
</file>