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52D91" w:rsidRPr="006A14EE" w:rsidRDefault="00852D91" w:rsidP="00852D91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6A14EE">
        <w:rPr>
          <w:rFonts w:asciiTheme="minorHAnsi" w:hAnsiTheme="minorHAnsi" w:cstheme="minorHAnsi"/>
          <w:b/>
          <w:bCs/>
          <w:szCs w:val="22"/>
        </w:rPr>
        <w:t xml:space="preserve">ΠΑΝΕΛΛΑΔΙΚΕΣ ΕΞΕΤΑΣΕΙΣ </w:t>
      </w:r>
    </w:p>
    <w:p w:rsidR="00852D91" w:rsidRPr="006A14EE" w:rsidRDefault="00852D91" w:rsidP="00852D91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6A14EE">
        <w:rPr>
          <w:rFonts w:asciiTheme="minorHAnsi" w:hAnsiTheme="minorHAnsi" w:cstheme="minorHAnsi"/>
          <w:b/>
          <w:bCs/>
          <w:szCs w:val="22"/>
        </w:rPr>
        <w:t xml:space="preserve">Γ΄ ΤΑΞΗ ΗΜΕΡΗΣΙΟΥ ΓΕΝΙΚΟΥ ΛΥΚΕΙΟΥ </w:t>
      </w:r>
    </w:p>
    <w:p w:rsidR="00852D91" w:rsidRPr="006A14EE" w:rsidRDefault="00852D91" w:rsidP="00852D91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6A14EE">
        <w:rPr>
          <w:rFonts w:asciiTheme="minorHAnsi" w:hAnsiTheme="minorHAnsi" w:cstheme="minorHAnsi"/>
          <w:b/>
          <w:bCs/>
          <w:szCs w:val="22"/>
        </w:rPr>
        <w:t xml:space="preserve">Παρασκευή 16 Ιουνίου 2017 </w:t>
      </w:r>
    </w:p>
    <w:p w:rsidR="00852D91" w:rsidRPr="006A14EE" w:rsidRDefault="00852D91" w:rsidP="00852D91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6A14EE">
        <w:rPr>
          <w:rFonts w:asciiTheme="minorHAnsi" w:hAnsiTheme="minorHAnsi" w:cstheme="minorHAnsi"/>
          <w:b/>
          <w:bCs/>
          <w:szCs w:val="22"/>
        </w:rPr>
        <w:t xml:space="preserve">ΕΞΕΤΑΖΟΜΕΝΟ ΜΑΘΗΜΑ: ΒΙΟΛΟΓΙΑ ΓΕΝΙΚΗΣ ΠΑΙΔΕΙΑΣ </w:t>
      </w:r>
    </w:p>
    <w:p w:rsidR="00852D91" w:rsidRPr="006A14EE" w:rsidRDefault="00852D91" w:rsidP="00852D91">
      <w:pPr>
        <w:pStyle w:val="Default"/>
        <w:jc w:val="both"/>
        <w:rPr>
          <w:rFonts w:asciiTheme="minorHAnsi" w:hAnsiTheme="minorHAnsi" w:cstheme="minorHAnsi"/>
          <w:szCs w:val="22"/>
        </w:rPr>
      </w:pP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b/>
          <w:bCs/>
          <w:sz w:val="22"/>
          <w:szCs w:val="22"/>
        </w:rPr>
        <w:t xml:space="preserve">ΘΕΜΑ Α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Α1. β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Α2. γ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Α3. β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Α4. γ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Α5. δ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b/>
          <w:bCs/>
          <w:sz w:val="22"/>
          <w:szCs w:val="22"/>
        </w:rPr>
        <w:t xml:space="preserve">ΘΕΜΑ Β </w:t>
      </w:r>
    </w:p>
    <w:p w:rsidR="00FF410F" w:rsidRDefault="00FF410F" w:rsidP="00852D9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b/>
          <w:bCs/>
          <w:sz w:val="22"/>
          <w:szCs w:val="22"/>
        </w:rPr>
        <w:t xml:space="preserve">Β1.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α. 9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β. 5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γ. 7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δ. 1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ε. 2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F410F">
        <w:rPr>
          <w:rFonts w:asciiTheme="minorHAnsi" w:hAnsiTheme="minorHAnsi" w:cstheme="minorHAnsi"/>
          <w:sz w:val="22"/>
          <w:szCs w:val="22"/>
        </w:rPr>
        <w:t>στ</w:t>
      </w:r>
      <w:proofErr w:type="spellEnd"/>
      <w:r w:rsidRPr="00FF410F">
        <w:rPr>
          <w:rFonts w:asciiTheme="minorHAnsi" w:hAnsiTheme="minorHAnsi" w:cstheme="minorHAnsi"/>
          <w:sz w:val="22"/>
          <w:szCs w:val="22"/>
        </w:rPr>
        <w:t xml:space="preserve">. 4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ζ. 6 </w:t>
      </w:r>
    </w:p>
    <w:p w:rsidR="00852D91" w:rsidRPr="00FF410F" w:rsidRDefault="00852D91" w:rsidP="00852D91">
      <w:pPr>
        <w:jc w:val="both"/>
        <w:rPr>
          <w:rFonts w:cstheme="minorHAnsi"/>
        </w:rPr>
      </w:pPr>
      <w:r w:rsidRPr="00FF410F">
        <w:rPr>
          <w:rFonts w:cstheme="minorHAnsi"/>
        </w:rPr>
        <w:t>η. 3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b/>
          <w:bCs/>
          <w:sz w:val="22"/>
          <w:szCs w:val="22"/>
        </w:rPr>
        <w:t xml:space="preserve">Β2.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Α. </w:t>
      </w:r>
      <w:proofErr w:type="spellStart"/>
      <w:r w:rsidRPr="00FF410F">
        <w:rPr>
          <w:rFonts w:asciiTheme="minorHAnsi" w:hAnsiTheme="minorHAnsi" w:cstheme="minorHAnsi"/>
          <w:sz w:val="22"/>
          <w:szCs w:val="22"/>
        </w:rPr>
        <w:t>αποικοδομητἐς</w:t>
      </w:r>
      <w:proofErr w:type="spellEnd"/>
      <w:r w:rsidRPr="00FF410F">
        <w:rPr>
          <w:rFonts w:asciiTheme="minorHAnsi" w:hAnsiTheme="minorHAnsi" w:cstheme="minorHAnsi"/>
          <w:sz w:val="22"/>
          <w:szCs w:val="22"/>
        </w:rPr>
        <w:t xml:space="preserve"> (ορισμένοι μύκητες και ορισμένα βακτήρια)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Β. </w:t>
      </w:r>
      <w:proofErr w:type="spellStart"/>
      <w:r w:rsidRPr="00FF410F">
        <w:rPr>
          <w:rFonts w:asciiTheme="minorHAnsi" w:hAnsiTheme="minorHAnsi" w:cstheme="minorHAnsi"/>
          <w:sz w:val="22"/>
          <w:szCs w:val="22"/>
        </w:rPr>
        <w:t>αζωτοδεσμευτικά</w:t>
      </w:r>
      <w:proofErr w:type="spellEnd"/>
      <w:r w:rsidRPr="00FF410F">
        <w:rPr>
          <w:rFonts w:asciiTheme="minorHAnsi" w:hAnsiTheme="minorHAnsi" w:cstheme="minorHAnsi"/>
          <w:sz w:val="22"/>
          <w:szCs w:val="22"/>
        </w:rPr>
        <w:t xml:space="preserve"> βακτήρια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Γ. </w:t>
      </w:r>
      <w:proofErr w:type="spellStart"/>
      <w:r w:rsidRPr="00FF410F">
        <w:rPr>
          <w:rFonts w:asciiTheme="minorHAnsi" w:hAnsiTheme="minorHAnsi" w:cstheme="minorHAnsi"/>
          <w:sz w:val="22"/>
          <w:szCs w:val="22"/>
        </w:rPr>
        <w:t>νιτροποιητικά</w:t>
      </w:r>
      <w:proofErr w:type="spellEnd"/>
      <w:r w:rsidRPr="00FF410F">
        <w:rPr>
          <w:rFonts w:asciiTheme="minorHAnsi" w:hAnsiTheme="minorHAnsi" w:cstheme="minorHAnsi"/>
          <w:sz w:val="22"/>
          <w:szCs w:val="22"/>
        </w:rPr>
        <w:t xml:space="preserve"> βακτήρια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Δ. </w:t>
      </w:r>
      <w:proofErr w:type="spellStart"/>
      <w:r w:rsidRPr="00FF410F">
        <w:rPr>
          <w:rFonts w:asciiTheme="minorHAnsi" w:hAnsiTheme="minorHAnsi" w:cstheme="minorHAnsi"/>
          <w:sz w:val="22"/>
          <w:szCs w:val="22"/>
        </w:rPr>
        <w:t>απονιτροποιητικά</w:t>
      </w:r>
      <w:proofErr w:type="spellEnd"/>
      <w:r w:rsidRPr="00FF410F">
        <w:rPr>
          <w:rFonts w:asciiTheme="minorHAnsi" w:hAnsiTheme="minorHAnsi" w:cstheme="minorHAnsi"/>
          <w:sz w:val="22"/>
          <w:szCs w:val="22"/>
        </w:rPr>
        <w:t xml:space="preserve"> βακτήρια </w:t>
      </w:r>
    </w:p>
    <w:p w:rsidR="006A14EE" w:rsidRDefault="006A14EE" w:rsidP="00852D9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b/>
          <w:bCs/>
          <w:sz w:val="22"/>
          <w:szCs w:val="22"/>
        </w:rPr>
        <w:t xml:space="preserve">Β3.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Σελ. 126 σχολικού βιβλίου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«Η διαδικασία με την οποία… απογόνους με επιθυμητά χαρακτηριστικά»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Σελ. 129 σχολικού βιβλίου </w:t>
      </w:r>
    </w:p>
    <w:p w:rsidR="00852D91" w:rsidRPr="00FF410F" w:rsidRDefault="00852D91" w:rsidP="00852D91">
      <w:pPr>
        <w:jc w:val="both"/>
        <w:rPr>
          <w:rFonts w:cstheme="minorHAnsi"/>
        </w:rPr>
      </w:pPr>
      <w:r w:rsidRPr="00FF410F">
        <w:rPr>
          <w:rFonts w:cstheme="minorHAnsi"/>
        </w:rPr>
        <w:t>«Ένα από τα σημεία… που μπορεί να εξελιχθεί»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b/>
          <w:bCs/>
          <w:sz w:val="22"/>
          <w:szCs w:val="22"/>
        </w:rPr>
        <w:t xml:space="preserve">Β4.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Σελ. 41 σχολικού βιβλίου </w:t>
      </w:r>
    </w:p>
    <w:p w:rsidR="00852D91" w:rsidRPr="00FF410F" w:rsidRDefault="00852D91" w:rsidP="00852D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«Για την εμφάνιση των κλινικών… μετά από κάποιο χρονικό διάστημα σε αυτό» </w:t>
      </w:r>
    </w:p>
    <w:p w:rsidR="00852D91" w:rsidRPr="00FF410F" w:rsidRDefault="00852D91" w:rsidP="00852D91">
      <w:pPr>
        <w:jc w:val="both"/>
        <w:rPr>
          <w:rFonts w:cstheme="minorHAnsi"/>
        </w:rPr>
      </w:pPr>
      <w:r w:rsidRPr="00FF410F">
        <w:rPr>
          <w:rFonts w:cstheme="minorHAnsi"/>
        </w:rPr>
        <w:t>«Κατά το στάδιο της ευαισθητοποίησης… τους ιστούς τους οποίους προσβάλλει το αλλεργιογόνο»</w:t>
      </w:r>
    </w:p>
    <w:p w:rsidR="006A14EE" w:rsidRPr="00FF410F" w:rsidRDefault="006A14EE" w:rsidP="006A14E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b/>
          <w:bCs/>
          <w:sz w:val="22"/>
          <w:szCs w:val="22"/>
        </w:rPr>
        <w:t xml:space="preserve">ΘΕΜΑ </w:t>
      </w:r>
      <w:r>
        <w:rPr>
          <w:rFonts w:asciiTheme="minorHAnsi" w:hAnsiTheme="minorHAnsi" w:cstheme="minorHAnsi"/>
          <w:b/>
          <w:bCs/>
          <w:sz w:val="22"/>
          <w:szCs w:val="22"/>
        </w:rPr>
        <w:t>Γ</w:t>
      </w:r>
    </w:p>
    <w:p w:rsidR="006A14EE" w:rsidRDefault="006A14EE" w:rsidP="00852D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52D91" w:rsidRPr="00FF410F" w:rsidRDefault="00852D91" w:rsidP="00852D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852D91">
        <w:rPr>
          <w:rFonts w:cstheme="minorHAnsi"/>
          <w:b/>
          <w:bCs/>
          <w:color w:val="000000"/>
        </w:rPr>
        <w:t xml:space="preserve">Γ1 </w:t>
      </w:r>
    </w:p>
    <w:p w:rsidR="00852D91" w:rsidRPr="00852D91" w:rsidRDefault="00852D91" w:rsidP="00852D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52D91">
        <w:rPr>
          <w:rFonts w:cstheme="minorHAnsi"/>
          <w:color w:val="000000"/>
        </w:rPr>
        <w:t>Σελ. 77 «Έχει υπολογιστεί…βιομάζα του». Σ</w:t>
      </w:r>
      <w:bookmarkStart w:id="0" w:name="_GoBack"/>
      <w:bookmarkEnd w:id="0"/>
      <w:r w:rsidRPr="00852D91">
        <w:rPr>
          <w:rFonts w:cstheme="minorHAnsi"/>
          <w:color w:val="000000"/>
        </w:rPr>
        <w:t xml:space="preserve">ελ. 109-110: «Οι πιο τοξικοί….τελικός καταναλωτής». </w:t>
      </w:r>
    </w:p>
    <w:p w:rsidR="00852D91" w:rsidRPr="00FF410F" w:rsidRDefault="00852D91" w:rsidP="00852D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F410F">
        <w:rPr>
          <w:rFonts w:cstheme="minorHAnsi"/>
          <w:color w:val="000000"/>
        </w:rPr>
        <w:t>Συνεπώς,</w:t>
      </w:r>
      <w:r w:rsidRPr="00852D91">
        <w:rPr>
          <w:rFonts w:cstheme="minorHAnsi"/>
          <w:color w:val="000000"/>
        </w:rPr>
        <w:t xml:space="preserve"> η βιομάζα του τροφικού επιπέδου των καταναλωτών 1</w:t>
      </w:r>
      <w:r w:rsidRPr="00852D91">
        <w:rPr>
          <w:rFonts w:cstheme="minorHAnsi"/>
          <w:color w:val="000000"/>
          <w:vertAlign w:val="superscript"/>
        </w:rPr>
        <w:t>ης</w:t>
      </w:r>
      <w:r w:rsidRPr="00852D91">
        <w:rPr>
          <w:rFonts w:cstheme="minorHAnsi"/>
          <w:color w:val="000000"/>
        </w:rPr>
        <w:t xml:space="preserve"> τάξης (10</w:t>
      </w:r>
      <w:r w:rsidRPr="00852D91">
        <w:rPr>
          <w:rFonts w:cstheme="minorHAnsi"/>
          <w:color w:val="000000"/>
          <w:vertAlign w:val="superscript"/>
        </w:rPr>
        <w:t>5</w:t>
      </w:r>
      <w:r w:rsidRPr="00852D91">
        <w:rPr>
          <w:rFonts w:cstheme="minorHAnsi"/>
          <w:color w:val="000000"/>
        </w:rPr>
        <w:t xml:space="preserve">kg) θα είναι </w:t>
      </w:r>
      <w:r w:rsidRPr="00FF410F">
        <w:rPr>
          <w:rFonts w:cstheme="minorHAnsi"/>
          <w:color w:val="000000"/>
        </w:rPr>
        <w:t>το 10% της ενέργειας</w:t>
      </w:r>
      <w:r w:rsidRPr="00852D91">
        <w:rPr>
          <w:rFonts w:cstheme="minorHAnsi"/>
          <w:color w:val="000000"/>
        </w:rPr>
        <w:t xml:space="preserve"> των παραγωγών</w:t>
      </w:r>
      <w:r w:rsidRPr="00FF410F">
        <w:rPr>
          <w:rFonts w:cstheme="minorHAnsi"/>
          <w:color w:val="000000"/>
        </w:rPr>
        <w:t xml:space="preserve"> άρα</w:t>
      </w:r>
      <w:r w:rsidRPr="00852D91">
        <w:rPr>
          <w:rFonts w:cstheme="minorHAnsi"/>
          <w:color w:val="000000"/>
        </w:rPr>
        <w:t xml:space="preserve"> η βιομάζα των παραγωγών θα είναι 10</w:t>
      </w:r>
      <w:r w:rsidRPr="00852D91">
        <w:rPr>
          <w:rFonts w:cstheme="minorHAnsi"/>
          <w:color w:val="000000"/>
          <w:vertAlign w:val="superscript"/>
        </w:rPr>
        <w:t>6</w:t>
      </w:r>
      <w:r w:rsidRPr="00852D91">
        <w:rPr>
          <w:rFonts w:cstheme="minorHAnsi"/>
          <w:color w:val="000000"/>
        </w:rPr>
        <w:t>kg. Ομοίως, η βιομάζα του τροφικού επιπέδου των καταναλωτών 2</w:t>
      </w:r>
      <w:r w:rsidRPr="00852D91">
        <w:rPr>
          <w:rFonts w:cstheme="minorHAnsi"/>
          <w:color w:val="000000"/>
          <w:vertAlign w:val="superscript"/>
        </w:rPr>
        <w:t>ης</w:t>
      </w:r>
      <w:r w:rsidRPr="00852D91">
        <w:rPr>
          <w:rFonts w:cstheme="minorHAnsi"/>
          <w:color w:val="000000"/>
        </w:rPr>
        <w:t xml:space="preserve"> τάξης θα είναι </w:t>
      </w:r>
      <w:r w:rsidRPr="00FF410F">
        <w:rPr>
          <w:rFonts w:cstheme="minorHAnsi"/>
          <w:color w:val="000000"/>
        </w:rPr>
        <w:t>το 10%</w:t>
      </w:r>
      <w:r w:rsidRPr="00852D91">
        <w:rPr>
          <w:rFonts w:cstheme="minorHAnsi"/>
          <w:color w:val="000000"/>
        </w:rPr>
        <w:t xml:space="preserve"> </w:t>
      </w:r>
      <w:r w:rsidRPr="00FF410F">
        <w:rPr>
          <w:rFonts w:cstheme="minorHAnsi"/>
          <w:color w:val="000000"/>
        </w:rPr>
        <w:t>της ενέργειας</w:t>
      </w:r>
      <w:r w:rsidRPr="00852D91">
        <w:rPr>
          <w:rFonts w:cstheme="minorHAnsi"/>
          <w:color w:val="000000"/>
        </w:rPr>
        <w:t xml:space="preserve"> των καταναλωτών 1</w:t>
      </w:r>
      <w:r w:rsidRPr="00852D91">
        <w:rPr>
          <w:rFonts w:cstheme="minorHAnsi"/>
          <w:color w:val="000000"/>
          <w:vertAlign w:val="superscript"/>
        </w:rPr>
        <w:t>ης</w:t>
      </w:r>
      <w:r w:rsidRPr="00852D91">
        <w:rPr>
          <w:rFonts w:cstheme="minorHAnsi"/>
          <w:color w:val="000000"/>
        </w:rPr>
        <w:t xml:space="preserve"> τάξης, δηλαδή 10</w:t>
      </w:r>
      <w:r w:rsidRPr="00852D91">
        <w:rPr>
          <w:rFonts w:cstheme="minorHAnsi"/>
          <w:color w:val="000000"/>
          <w:vertAlign w:val="superscript"/>
        </w:rPr>
        <w:t>4</w:t>
      </w:r>
      <w:r w:rsidRPr="00852D91">
        <w:rPr>
          <w:rFonts w:cstheme="minorHAnsi"/>
          <w:color w:val="000000"/>
        </w:rPr>
        <w:t xml:space="preserve">kg. </w:t>
      </w:r>
    </w:p>
    <w:p w:rsidR="00852D91" w:rsidRPr="00852D91" w:rsidRDefault="00852D91" w:rsidP="00852D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52D91">
        <w:rPr>
          <w:rFonts w:cstheme="minorHAnsi"/>
          <w:color w:val="000000"/>
        </w:rPr>
        <w:lastRenderedPageBreak/>
        <w:t>Η ποσότητα του DDT θα παραμείνει σταθερή κατά μήκος της τροφικής αλυσίδας (10</w:t>
      </w:r>
      <w:r w:rsidRPr="00852D91">
        <w:rPr>
          <w:rFonts w:cstheme="minorHAnsi"/>
          <w:color w:val="000000"/>
          <w:vertAlign w:val="superscript"/>
        </w:rPr>
        <w:t>6</w:t>
      </w:r>
      <w:r w:rsidRPr="00852D91">
        <w:rPr>
          <w:rFonts w:cstheme="minorHAnsi"/>
          <w:color w:val="000000"/>
        </w:rPr>
        <w:t>mg) αφού δεν</w:t>
      </w:r>
      <w:r w:rsidRPr="00FF410F">
        <w:rPr>
          <w:rFonts w:cstheme="minorHAnsi"/>
          <w:color w:val="000000"/>
        </w:rPr>
        <w:t xml:space="preserve"> </w:t>
      </w:r>
      <w:proofErr w:type="spellStart"/>
      <w:r w:rsidRPr="00852D91">
        <w:rPr>
          <w:rFonts w:cstheme="minorHAnsi"/>
          <w:color w:val="000000"/>
        </w:rPr>
        <w:t>αποικοδομείται</w:t>
      </w:r>
      <w:proofErr w:type="spellEnd"/>
      <w:r w:rsidRPr="00852D91">
        <w:rPr>
          <w:rFonts w:cstheme="minorHAnsi"/>
          <w:color w:val="000000"/>
        </w:rPr>
        <w:t>. Έτσι η συγκέντρωση του DDT στους ιστούς των οργανισμών, η οποία δίνεται από τον τύπο Συγκέντρωση=ποσότητα DDT (</w:t>
      </w:r>
      <w:proofErr w:type="spellStart"/>
      <w:r w:rsidRPr="00852D91">
        <w:rPr>
          <w:rFonts w:cstheme="minorHAnsi"/>
          <w:color w:val="000000"/>
        </w:rPr>
        <w:t>mg</w:t>
      </w:r>
      <w:proofErr w:type="spellEnd"/>
      <w:r w:rsidRPr="00852D91">
        <w:rPr>
          <w:rFonts w:cstheme="minorHAnsi"/>
          <w:color w:val="000000"/>
        </w:rPr>
        <w:t>)/ βιομάζα επιπέδου (</w:t>
      </w:r>
      <w:proofErr w:type="spellStart"/>
      <w:r w:rsidRPr="00852D91">
        <w:rPr>
          <w:rFonts w:cstheme="minorHAnsi"/>
          <w:color w:val="000000"/>
        </w:rPr>
        <w:t>kg</w:t>
      </w:r>
      <w:proofErr w:type="spellEnd"/>
      <w:r w:rsidRPr="00852D91">
        <w:rPr>
          <w:rFonts w:cstheme="minorHAnsi"/>
          <w:color w:val="000000"/>
        </w:rPr>
        <w:t>), θα είναι δεκαπλάσια καθώς προχωρ</w:t>
      </w:r>
      <w:r w:rsidRPr="00FF410F">
        <w:rPr>
          <w:rFonts w:cstheme="minorHAnsi"/>
          <w:color w:val="000000"/>
        </w:rPr>
        <w:t>ά</w:t>
      </w:r>
      <w:r w:rsidRPr="00852D91">
        <w:rPr>
          <w:rFonts w:cstheme="minorHAnsi"/>
          <w:color w:val="000000"/>
        </w:rPr>
        <w:t xml:space="preserve">με, από τους παραγωγούς στους καταναλωτές, δηλαδή: </w:t>
      </w:r>
    </w:p>
    <w:p w:rsidR="00852D91" w:rsidRPr="00852D91" w:rsidRDefault="00852D91" w:rsidP="00852D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52D91">
        <w:rPr>
          <w:rFonts w:cstheme="minorHAnsi"/>
          <w:color w:val="000000"/>
        </w:rPr>
        <w:t>Παραγωγοί: Συγκέντρωση = 10</w:t>
      </w:r>
      <w:r w:rsidRPr="00852D91">
        <w:rPr>
          <w:rFonts w:cstheme="minorHAnsi"/>
          <w:color w:val="000000"/>
          <w:vertAlign w:val="superscript"/>
        </w:rPr>
        <w:t>6</w:t>
      </w:r>
      <w:r w:rsidRPr="00852D91">
        <w:rPr>
          <w:rFonts w:cstheme="minorHAnsi"/>
          <w:color w:val="000000"/>
        </w:rPr>
        <w:t>/10</w:t>
      </w:r>
      <w:r w:rsidRPr="00852D91">
        <w:rPr>
          <w:rFonts w:cstheme="minorHAnsi"/>
          <w:color w:val="000000"/>
          <w:vertAlign w:val="superscript"/>
        </w:rPr>
        <w:t>6</w:t>
      </w:r>
      <w:r w:rsidRPr="00852D91">
        <w:rPr>
          <w:rFonts w:cstheme="minorHAnsi"/>
          <w:color w:val="000000"/>
        </w:rPr>
        <w:t>=1mg/</w:t>
      </w:r>
      <w:proofErr w:type="spellStart"/>
      <w:r w:rsidRPr="00852D91">
        <w:rPr>
          <w:rFonts w:cstheme="minorHAnsi"/>
          <w:color w:val="000000"/>
        </w:rPr>
        <w:t>kg</w:t>
      </w:r>
      <w:proofErr w:type="spellEnd"/>
      <w:r w:rsidRPr="00852D91">
        <w:rPr>
          <w:rFonts w:cstheme="minorHAnsi"/>
          <w:color w:val="000000"/>
        </w:rPr>
        <w:t xml:space="preserve"> </w:t>
      </w:r>
    </w:p>
    <w:p w:rsidR="00852D91" w:rsidRPr="00852D91" w:rsidRDefault="00852D91" w:rsidP="00852D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 w:rsidRPr="00852D91">
        <w:rPr>
          <w:rFonts w:cstheme="minorHAnsi"/>
          <w:color w:val="000000"/>
        </w:rPr>
        <w:t>Kαταναλωτές</w:t>
      </w:r>
      <w:proofErr w:type="spellEnd"/>
      <w:r w:rsidRPr="00852D91">
        <w:rPr>
          <w:rFonts w:cstheme="minorHAnsi"/>
          <w:color w:val="000000"/>
        </w:rPr>
        <w:t xml:space="preserve"> 1ης τάξης: Συγκέντρωση = 10</w:t>
      </w:r>
      <w:r w:rsidRPr="00852D91">
        <w:rPr>
          <w:rFonts w:cstheme="minorHAnsi"/>
          <w:color w:val="000000"/>
          <w:vertAlign w:val="superscript"/>
        </w:rPr>
        <w:t>6</w:t>
      </w:r>
      <w:r w:rsidRPr="00852D91">
        <w:rPr>
          <w:rFonts w:cstheme="minorHAnsi"/>
          <w:color w:val="000000"/>
        </w:rPr>
        <w:t>/10</w:t>
      </w:r>
      <w:r w:rsidRPr="00852D91">
        <w:rPr>
          <w:rFonts w:cstheme="minorHAnsi"/>
          <w:color w:val="000000"/>
          <w:vertAlign w:val="superscript"/>
        </w:rPr>
        <w:t>5</w:t>
      </w:r>
      <w:r w:rsidRPr="00852D91">
        <w:rPr>
          <w:rFonts w:cstheme="minorHAnsi"/>
          <w:color w:val="000000"/>
        </w:rPr>
        <w:t>=10mg/</w:t>
      </w:r>
      <w:proofErr w:type="spellStart"/>
      <w:r w:rsidRPr="00852D91">
        <w:rPr>
          <w:rFonts w:cstheme="minorHAnsi"/>
          <w:color w:val="000000"/>
        </w:rPr>
        <w:t>kg</w:t>
      </w:r>
      <w:proofErr w:type="spellEnd"/>
      <w:r w:rsidRPr="00852D91">
        <w:rPr>
          <w:rFonts w:cstheme="minorHAnsi"/>
          <w:color w:val="000000"/>
        </w:rPr>
        <w:t xml:space="preserve"> </w:t>
      </w:r>
    </w:p>
    <w:p w:rsidR="00852D91" w:rsidRPr="00FF410F" w:rsidRDefault="00852D91" w:rsidP="00852D91">
      <w:pPr>
        <w:jc w:val="both"/>
        <w:rPr>
          <w:rFonts w:cstheme="minorHAnsi"/>
          <w:color w:val="000000"/>
        </w:rPr>
      </w:pPr>
      <w:r w:rsidRPr="00FF410F">
        <w:rPr>
          <w:rFonts w:cstheme="minorHAnsi"/>
          <w:color w:val="000000"/>
        </w:rPr>
        <w:t>Καταναλωτές 2ης τάξης: Συγκέντρωση = 10</w:t>
      </w:r>
      <w:r w:rsidRPr="00FF410F">
        <w:rPr>
          <w:rFonts w:cstheme="minorHAnsi"/>
          <w:color w:val="000000"/>
          <w:vertAlign w:val="superscript"/>
        </w:rPr>
        <w:t>6</w:t>
      </w:r>
      <w:r w:rsidRPr="00FF410F">
        <w:rPr>
          <w:rFonts w:cstheme="minorHAnsi"/>
          <w:color w:val="000000"/>
        </w:rPr>
        <w:t>/10</w:t>
      </w:r>
      <w:r w:rsidRPr="00FF410F">
        <w:rPr>
          <w:rFonts w:cstheme="minorHAnsi"/>
          <w:color w:val="000000"/>
          <w:vertAlign w:val="superscript"/>
        </w:rPr>
        <w:t>4</w:t>
      </w:r>
      <w:r w:rsidRPr="00FF410F">
        <w:rPr>
          <w:rFonts w:cstheme="minorHAnsi"/>
          <w:color w:val="000000"/>
        </w:rPr>
        <w:t>=10</w:t>
      </w:r>
      <w:r w:rsidRPr="00FF410F">
        <w:rPr>
          <w:rFonts w:cstheme="minorHAnsi"/>
          <w:color w:val="000000"/>
          <w:vertAlign w:val="superscript"/>
        </w:rPr>
        <w:t>2</w:t>
      </w:r>
      <w:r w:rsidRPr="00FF410F">
        <w:rPr>
          <w:rFonts w:cstheme="minorHAnsi"/>
          <w:color w:val="000000"/>
        </w:rPr>
        <w:t xml:space="preserve">= 100 </w:t>
      </w:r>
      <w:proofErr w:type="spellStart"/>
      <w:r w:rsidRPr="00FF410F">
        <w:rPr>
          <w:rFonts w:cstheme="minorHAnsi"/>
          <w:color w:val="000000"/>
        </w:rPr>
        <w:t>mg</w:t>
      </w:r>
      <w:proofErr w:type="spellEnd"/>
      <w:r w:rsidRPr="00FF410F">
        <w:rPr>
          <w:rFonts w:cstheme="minorHAnsi"/>
          <w:color w:val="000000"/>
        </w:rPr>
        <w:t>/</w:t>
      </w:r>
      <w:proofErr w:type="spellStart"/>
      <w:r w:rsidRPr="00FF410F">
        <w:rPr>
          <w:rFonts w:cstheme="minorHAnsi"/>
          <w:color w:val="000000"/>
        </w:rPr>
        <w:t>kg</w:t>
      </w:r>
      <w:proofErr w:type="spellEnd"/>
    </w:p>
    <w:p w:rsidR="00852D91" w:rsidRPr="00FF410F" w:rsidRDefault="00576641" w:rsidP="00852D91">
      <w:pPr>
        <w:jc w:val="both"/>
        <w:rPr>
          <w:rFonts w:cstheme="minorHAnsi"/>
        </w:rPr>
      </w:pPr>
      <w:r w:rsidRPr="00FF410F">
        <w:rPr>
          <w:rFonts w:cstheme="minorHAnsi"/>
          <w:noProof/>
        </w:rPr>
        <w:drawing>
          <wp:inline distT="0" distB="0" distL="0" distR="0">
            <wp:extent cx="3870960" cy="17907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41" w:rsidRPr="00FF410F" w:rsidRDefault="00576641" w:rsidP="00576641">
      <w:pPr>
        <w:jc w:val="both"/>
        <w:rPr>
          <w:rFonts w:cstheme="minorHAnsi"/>
        </w:rPr>
      </w:pPr>
      <w:r w:rsidRPr="00FF410F">
        <w:rPr>
          <w:rFonts w:cstheme="minorHAnsi"/>
          <w:b/>
        </w:rPr>
        <w:t>Γ2</w:t>
      </w:r>
      <w:r w:rsidRPr="00FF410F">
        <w:rPr>
          <w:rFonts w:cstheme="minorHAnsi"/>
        </w:rPr>
        <w:t xml:space="preserve"> </w:t>
      </w:r>
    </w:p>
    <w:p w:rsidR="00576641" w:rsidRPr="00FF410F" w:rsidRDefault="00576641" w:rsidP="00576641">
      <w:pPr>
        <w:jc w:val="both"/>
        <w:rPr>
          <w:rFonts w:cstheme="minorHAnsi"/>
        </w:rPr>
      </w:pPr>
      <w:r w:rsidRPr="00FF410F">
        <w:rPr>
          <w:rFonts w:cstheme="minorHAnsi"/>
        </w:rPr>
        <w:t>Σελ. 109-110: «Οι πιο τοξικοί…</w:t>
      </w:r>
      <w:proofErr w:type="spellStart"/>
      <w:r w:rsidRPr="00FF410F">
        <w:rPr>
          <w:rFonts w:cstheme="minorHAnsi"/>
        </w:rPr>
        <w:t>βιοσυσσώρευση</w:t>
      </w:r>
      <w:proofErr w:type="spellEnd"/>
      <w:r w:rsidRPr="00FF410F">
        <w:rPr>
          <w:rFonts w:cstheme="minorHAnsi"/>
        </w:rPr>
        <w:t>».</w:t>
      </w:r>
    </w:p>
    <w:p w:rsidR="00576641" w:rsidRPr="00FF410F" w:rsidRDefault="00576641" w:rsidP="00576641">
      <w:pPr>
        <w:jc w:val="both"/>
        <w:rPr>
          <w:rFonts w:cstheme="minorHAnsi"/>
        </w:rPr>
      </w:pPr>
      <w:r w:rsidRPr="00FF410F">
        <w:rPr>
          <w:rFonts w:cstheme="minorHAnsi"/>
          <w:b/>
        </w:rPr>
        <w:t>Γ3</w:t>
      </w:r>
      <w:r w:rsidRPr="00FF410F">
        <w:rPr>
          <w:rFonts w:cstheme="minorHAnsi"/>
        </w:rPr>
        <w:t xml:space="preserve"> </w:t>
      </w:r>
    </w:p>
    <w:p w:rsidR="00576641" w:rsidRPr="00FF410F" w:rsidRDefault="00576641" w:rsidP="00576641">
      <w:pPr>
        <w:jc w:val="both"/>
        <w:rPr>
          <w:rFonts w:cstheme="minorHAnsi"/>
        </w:rPr>
      </w:pPr>
      <w:r w:rsidRPr="00FF410F">
        <w:rPr>
          <w:rFonts w:cstheme="minorHAnsi"/>
        </w:rPr>
        <w:t>Σελ. 77 «Έχει υπολογιστεί….βιομάζα του».</w:t>
      </w:r>
    </w:p>
    <w:p w:rsidR="006A14EE" w:rsidRDefault="006A14EE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b/>
          <w:bCs/>
          <w:color w:val="000000"/>
        </w:rPr>
        <w:t xml:space="preserve">ΘΕΜΑ Δ </w:t>
      </w:r>
    </w:p>
    <w:p w:rsidR="00FF410F" w:rsidRPr="00FF410F" w:rsidRDefault="00FF410F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F410F" w:rsidRPr="00FF410F" w:rsidRDefault="00FF410F" w:rsidP="00FF410F">
      <w:pPr>
        <w:pStyle w:val="Default"/>
        <w:rPr>
          <w:rFonts w:asciiTheme="minorHAnsi" w:hAnsiTheme="minorHAnsi" w:cstheme="minorHAnsi"/>
          <w:sz w:val="22"/>
          <w:szCs w:val="26"/>
        </w:rPr>
      </w:pPr>
      <w:r w:rsidRPr="00FF410F">
        <w:rPr>
          <w:rFonts w:asciiTheme="minorHAnsi" w:hAnsiTheme="minorHAnsi" w:cstheme="minorHAnsi"/>
          <w:b/>
          <w:bCs/>
          <w:sz w:val="22"/>
          <w:szCs w:val="26"/>
        </w:rPr>
        <w:t xml:space="preserve">Δ1. </w:t>
      </w:r>
    </w:p>
    <w:p w:rsidR="00FF410F" w:rsidRPr="00FF410F" w:rsidRDefault="00FF410F" w:rsidP="00FF410F">
      <w:pPr>
        <w:pStyle w:val="Default"/>
        <w:rPr>
          <w:rFonts w:asciiTheme="minorHAnsi" w:hAnsiTheme="minorHAnsi" w:cstheme="minorHAnsi"/>
          <w:sz w:val="22"/>
          <w:szCs w:val="26"/>
        </w:rPr>
      </w:pPr>
      <w:r w:rsidRPr="00FF410F">
        <w:rPr>
          <w:rFonts w:asciiTheme="minorHAnsi" w:hAnsiTheme="minorHAnsi" w:cstheme="minorHAnsi"/>
          <w:sz w:val="22"/>
          <w:szCs w:val="26"/>
        </w:rPr>
        <w:t xml:space="preserve">Πρωτογενή λεμφικά όργανα: </w:t>
      </w:r>
    </w:p>
    <w:p w:rsidR="00FF410F" w:rsidRPr="00FF410F" w:rsidRDefault="00FF410F" w:rsidP="00FF410F">
      <w:pPr>
        <w:pStyle w:val="Default"/>
        <w:spacing w:after="51"/>
        <w:rPr>
          <w:rFonts w:asciiTheme="minorHAnsi" w:hAnsiTheme="minorHAnsi" w:cstheme="minorHAnsi"/>
          <w:sz w:val="22"/>
          <w:szCs w:val="26"/>
        </w:rPr>
      </w:pPr>
      <w:r w:rsidRPr="00FF410F">
        <w:rPr>
          <w:rFonts w:asciiTheme="minorHAnsi" w:hAnsiTheme="minorHAnsi" w:cstheme="minorHAnsi"/>
          <w:sz w:val="22"/>
          <w:szCs w:val="26"/>
        </w:rPr>
        <w:t xml:space="preserve">Μυελός των οστών </w:t>
      </w:r>
    </w:p>
    <w:p w:rsidR="00FF410F" w:rsidRPr="00FF410F" w:rsidRDefault="00FF410F" w:rsidP="00FF410F">
      <w:pPr>
        <w:pStyle w:val="Default"/>
        <w:rPr>
          <w:rFonts w:asciiTheme="minorHAnsi" w:hAnsiTheme="minorHAnsi" w:cstheme="minorHAnsi"/>
          <w:sz w:val="22"/>
          <w:szCs w:val="26"/>
        </w:rPr>
      </w:pPr>
      <w:r w:rsidRPr="00FF410F">
        <w:rPr>
          <w:rFonts w:asciiTheme="minorHAnsi" w:hAnsiTheme="minorHAnsi" w:cstheme="minorHAnsi"/>
          <w:sz w:val="22"/>
          <w:szCs w:val="26"/>
        </w:rPr>
        <w:t xml:space="preserve">Θύμος αδένας </w:t>
      </w:r>
    </w:p>
    <w:p w:rsidR="00FF410F" w:rsidRPr="00FF410F" w:rsidRDefault="00FF410F" w:rsidP="00FF410F">
      <w:pPr>
        <w:pStyle w:val="Default"/>
        <w:rPr>
          <w:rFonts w:asciiTheme="minorHAnsi" w:hAnsiTheme="minorHAnsi" w:cstheme="minorHAnsi"/>
          <w:sz w:val="22"/>
          <w:szCs w:val="26"/>
        </w:rPr>
      </w:pPr>
    </w:p>
    <w:p w:rsidR="00FF410F" w:rsidRPr="00FF410F" w:rsidRDefault="00FF410F" w:rsidP="00FF410F">
      <w:pPr>
        <w:pStyle w:val="Default"/>
        <w:rPr>
          <w:rFonts w:asciiTheme="minorHAnsi" w:hAnsiTheme="minorHAnsi" w:cstheme="minorHAnsi"/>
          <w:sz w:val="22"/>
          <w:szCs w:val="26"/>
        </w:rPr>
      </w:pPr>
      <w:r w:rsidRPr="00FF410F">
        <w:rPr>
          <w:rFonts w:asciiTheme="minorHAnsi" w:hAnsiTheme="minorHAnsi" w:cstheme="minorHAnsi"/>
          <w:sz w:val="22"/>
          <w:szCs w:val="26"/>
        </w:rPr>
        <w:t xml:space="preserve">Δευτερογενή λεμφικά όργανα </w:t>
      </w:r>
    </w:p>
    <w:p w:rsidR="00FF410F" w:rsidRPr="00FF410F" w:rsidRDefault="00FF410F" w:rsidP="00FF410F">
      <w:pPr>
        <w:pStyle w:val="Default"/>
        <w:spacing w:after="51"/>
        <w:rPr>
          <w:rFonts w:asciiTheme="minorHAnsi" w:hAnsiTheme="minorHAnsi" w:cstheme="minorHAnsi"/>
          <w:sz w:val="22"/>
          <w:szCs w:val="26"/>
        </w:rPr>
      </w:pPr>
      <w:r w:rsidRPr="00FF410F">
        <w:rPr>
          <w:rFonts w:asciiTheme="minorHAnsi" w:hAnsiTheme="minorHAnsi" w:cstheme="minorHAnsi"/>
          <w:sz w:val="22"/>
          <w:szCs w:val="26"/>
        </w:rPr>
        <w:t xml:space="preserve">Λεμφαδένες </w:t>
      </w:r>
    </w:p>
    <w:p w:rsidR="00FF410F" w:rsidRPr="00FF410F" w:rsidRDefault="00FF410F" w:rsidP="00FF410F">
      <w:pPr>
        <w:pStyle w:val="Default"/>
        <w:spacing w:after="51"/>
        <w:rPr>
          <w:rFonts w:asciiTheme="minorHAnsi" w:hAnsiTheme="minorHAnsi" w:cstheme="minorHAnsi"/>
          <w:sz w:val="22"/>
          <w:szCs w:val="26"/>
        </w:rPr>
      </w:pPr>
      <w:r w:rsidRPr="00FF410F">
        <w:rPr>
          <w:rFonts w:asciiTheme="minorHAnsi" w:hAnsiTheme="minorHAnsi" w:cstheme="minorHAnsi"/>
          <w:sz w:val="22"/>
          <w:szCs w:val="26"/>
        </w:rPr>
        <w:t xml:space="preserve">Σπλήνας </w:t>
      </w:r>
    </w:p>
    <w:p w:rsidR="00FF410F" w:rsidRPr="00FF410F" w:rsidRDefault="00FF410F" w:rsidP="00FF410F">
      <w:pPr>
        <w:pStyle w:val="Default"/>
        <w:spacing w:after="51"/>
        <w:rPr>
          <w:rFonts w:asciiTheme="minorHAnsi" w:hAnsiTheme="minorHAnsi" w:cstheme="minorHAnsi"/>
          <w:sz w:val="22"/>
          <w:szCs w:val="26"/>
        </w:rPr>
      </w:pPr>
      <w:r w:rsidRPr="00FF410F">
        <w:rPr>
          <w:rFonts w:asciiTheme="minorHAnsi" w:hAnsiTheme="minorHAnsi" w:cstheme="minorHAnsi"/>
          <w:sz w:val="22"/>
          <w:szCs w:val="26"/>
        </w:rPr>
        <w:t xml:space="preserve">Αμυγδαλές </w:t>
      </w:r>
    </w:p>
    <w:p w:rsidR="00FF410F" w:rsidRDefault="00FF410F" w:rsidP="00FF410F">
      <w:pPr>
        <w:pStyle w:val="Default"/>
        <w:rPr>
          <w:sz w:val="26"/>
          <w:szCs w:val="26"/>
        </w:rPr>
      </w:pPr>
      <w:r w:rsidRPr="00FF410F">
        <w:rPr>
          <w:rFonts w:asciiTheme="minorHAnsi" w:hAnsiTheme="minorHAnsi" w:cstheme="minorHAnsi"/>
          <w:sz w:val="22"/>
          <w:szCs w:val="26"/>
        </w:rPr>
        <w:t>Λεμφικός ιστός κατά μήκος του γαστρεντερικού σωλήνα</w:t>
      </w:r>
      <w:r w:rsidRPr="00FF410F">
        <w:rPr>
          <w:sz w:val="22"/>
          <w:szCs w:val="26"/>
        </w:rPr>
        <w:t xml:space="preserve"> </w:t>
      </w: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b/>
          <w:bCs/>
          <w:color w:val="000000"/>
        </w:rPr>
        <w:t xml:space="preserve">Δ2 </w:t>
      </w: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color w:val="000000"/>
        </w:rPr>
        <w:t xml:space="preserve">1. </w:t>
      </w:r>
      <w:proofErr w:type="spellStart"/>
      <w:r w:rsidRPr="00576641">
        <w:rPr>
          <w:rFonts w:cstheme="minorHAnsi"/>
          <w:color w:val="000000"/>
        </w:rPr>
        <w:t>Μακροφάγα</w:t>
      </w:r>
      <w:proofErr w:type="spellEnd"/>
      <w:r w:rsidRPr="00576641">
        <w:rPr>
          <w:rFonts w:cstheme="minorHAnsi"/>
          <w:color w:val="000000"/>
        </w:rPr>
        <w:t xml:space="preserve"> </w:t>
      </w:r>
      <w:proofErr w:type="spellStart"/>
      <w:r w:rsidRPr="00576641">
        <w:rPr>
          <w:rFonts w:cstheme="minorHAnsi"/>
          <w:color w:val="000000"/>
        </w:rPr>
        <w:t>αντιγονοπαρουσιαστικά</w:t>
      </w:r>
      <w:proofErr w:type="spellEnd"/>
      <w:r w:rsidRPr="00576641">
        <w:rPr>
          <w:rFonts w:cstheme="minorHAnsi"/>
          <w:color w:val="000000"/>
        </w:rPr>
        <w:t xml:space="preserve"> κύτταρα </w:t>
      </w: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color w:val="000000"/>
        </w:rPr>
        <w:t xml:space="preserve">2. Βοηθητικά Τ-λεμφοκύτταρα </w:t>
      </w: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color w:val="000000"/>
        </w:rPr>
        <w:t xml:space="preserve">3. </w:t>
      </w:r>
      <w:proofErr w:type="spellStart"/>
      <w:r w:rsidRPr="00576641">
        <w:rPr>
          <w:rFonts w:cstheme="minorHAnsi"/>
          <w:color w:val="000000"/>
        </w:rPr>
        <w:t>Κυτταροτοξικά</w:t>
      </w:r>
      <w:proofErr w:type="spellEnd"/>
      <w:r w:rsidRPr="00576641">
        <w:rPr>
          <w:rFonts w:cstheme="minorHAnsi"/>
          <w:color w:val="000000"/>
        </w:rPr>
        <w:t xml:space="preserve"> Τ-λεμφοκύτταρα </w:t>
      </w: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color w:val="000000"/>
        </w:rPr>
        <w:t xml:space="preserve">4. Β-λεμφοκύτταρα </w:t>
      </w: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color w:val="000000"/>
        </w:rPr>
        <w:t xml:space="preserve">5. Πλασματοκύτταρα </w:t>
      </w: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color w:val="000000"/>
        </w:rPr>
        <w:t xml:space="preserve">6. Κατασταλτικά Τ-λεμφοκύτταρα. </w:t>
      </w: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color w:val="000000"/>
        </w:rPr>
        <w:t xml:space="preserve">7. Β-λεμφοκύτταρα μνήμης </w:t>
      </w: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color w:val="000000"/>
        </w:rPr>
        <w:t xml:space="preserve">Τα μόρια Α αντιστοιχούν στα ειδικά για το αντιγόνο </w:t>
      </w:r>
      <w:r w:rsidRPr="00576641">
        <w:rPr>
          <w:rFonts w:cstheme="minorHAnsi"/>
          <w:bCs/>
          <w:color w:val="000000"/>
        </w:rPr>
        <w:t>αντισώματα</w:t>
      </w:r>
      <w:r w:rsidRPr="00576641">
        <w:rPr>
          <w:rFonts w:cstheme="minorHAnsi"/>
          <w:b/>
          <w:bCs/>
          <w:color w:val="000000"/>
        </w:rPr>
        <w:t xml:space="preserve"> </w:t>
      </w:r>
      <w:r w:rsidRPr="00576641">
        <w:rPr>
          <w:rFonts w:cstheme="minorHAnsi"/>
          <w:color w:val="000000"/>
        </w:rPr>
        <w:t xml:space="preserve">που παράγονται από τα πλασματοκύτταρα κατά την ανοσοβιολογική απόκριση. </w:t>
      </w:r>
    </w:p>
    <w:p w:rsidR="00576641" w:rsidRPr="00FF410F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b/>
          <w:bCs/>
          <w:color w:val="000000"/>
        </w:rPr>
        <w:lastRenderedPageBreak/>
        <w:t xml:space="preserve">Δ3 </w:t>
      </w:r>
    </w:p>
    <w:p w:rsidR="006A14EE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color w:val="000000"/>
        </w:rPr>
        <w:t xml:space="preserve">Παρατηρούμε ότι κατά την πρωτογενή ανοσοβιολογική απόκριση που απεικονίζεται στην Εικόνα 1, ενεργοποιούνται και τα </w:t>
      </w:r>
      <w:proofErr w:type="spellStart"/>
      <w:r w:rsidRPr="00576641">
        <w:rPr>
          <w:rFonts w:cstheme="minorHAnsi"/>
          <w:color w:val="000000"/>
        </w:rPr>
        <w:t>κυτταροτοξικά</w:t>
      </w:r>
      <w:proofErr w:type="spellEnd"/>
      <w:r w:rsidRPr="00576641">
        <w:rPr>
          <w:rFonts w:cstheme="minorHAnsi"/>
          <w:color w:val="000000"/>
        </w:rPr>
        <w:t xml:space="preserve"> Τ-λεμφοκύτταρα. Έτσι συμπεραίνουμε ότι το αντιγόνο που προκάλεσε την ανοσοβιολογική απόκριση είναι ιός. </w:t>
      </w: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color w:val="000000"/>
        </w:rPr>
        <w:t>Σελ. 38-39</w:t>
      </w:r>
      <w:r w:rsidR="006A14EE">
        <w:rPr>
          <w:rFonts w:cstheme="minorHAnsi"/>
          <w:color w:val="000000"/>
        </w:rPr>
        <w:t xml:space="preserve"> </w:t>
      </w:r>
      <w:r w:rsidRPr="00576641">
        <w:rPr>
          <w:rFonts w:cstheme="minorHAnsi"/>
          <w:color w:val="000000"/>
        </w:rPr>
        <w:t xml:space="preserve">«Παράλληλα με…κυτταρική ανοσία». </w:t>
      </w:r>
    </w:p>
    <w:p w:rsidR="00FF410F" w:rsidRDefault="00FF410F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576641" w:rsidRPr="00576641" w:rsidRDefault="00576641" w:rsidP="005766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6641">
        <w:rPr>
          <w:rFonts w:cstheme="minorHAnsi"/>
          <w:b/>
          <w:bCs/>
          <w:color w:val="000000"/>
        </w:rPr>
        <w:t xml:space="preserve">Δ4 </w:t>
      </w:r>
    </w:p>
    <w:p w:rsidR="00576641" w:rsidRPr="00FF410F" w:rsidRDefault="00576641" w:rsidP="005766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Ζ:μεταβλητή </w:t>
      </w:r>
    </w:p>
    <w:p w:rsidR="00576641" w:rsidRPr="00FF410F" w:rsidRDefault="00576641" w:rsidP="005766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Η:σταθερή </w:t>
      </w:r>
    </w:p>
    <w:p w:rsidR="00576641" w:rsidRPr="00FF410F" w:rsidRDefault="00576641" w:rsidP="005766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Σελ. 36 σχολικού βιβλίου «Η μεταβλητή περιοχή… συγκεκριμένο αντιγόνο» </w:t>
      </w:r>
    </w:p>
    <w:p w:rsidR="00576641" w:rsidRPr="00FF410F" w:rsidRDefault="00576641" w:rsidP="0057664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76641" w:rsidRPr="00FF410F" w:rsidRDefault="00576641" w:rsidP="0057664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76641">
        <w:rPr>
          <w:rFonts w:asciiTheme="minorHAnsi" w:hAnsiTheme="minorHAnsi" w:cstheme="minorHAnsi"/>
          <w:b/>
          <w:bCs/>
          <w:sz w:val="22"/>
          <w:szCs w:val="22"/>
        </w:rPr>
        <w:t xml:space="preserve">Δ5 </w:t>
      </w:r>
    </w:p>
    <w:p w:rsidR="00FF410F" w:rsidRPr="00FF410F" w:rsidRDefault="00FF410F" w:rsidP="00FF41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Καμπύλη 1:αντιγόνα </w:t>
      </w:r>
    </w:p>
    <w:p w:rsidR="00FF410F" w:rsidRPr="00FF410F" w:rsidRDefault="00FF410F" w:rsidP="00FF41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Σελ. 34 σχολικού βιβλίου </w:t>
      </w:r>
    </w:p>
    <w:p w:rsidR="00FF410F" w:rsidRPr="00FF410F" w:rsidRDefault="00FF410F" w:rsidP="00FF41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«Η ξένη ουσία που προκαλεί… άτομα ή ζώα κ.ά.» </w:t>
      </w:r>
    </w:p>
    <w:p w:rsidR="00FF410F" w:rsidRPr="00FF410F" w:rsidRDefault="00FF410F" w:rsidP="00FF41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 xml:space="preserve">Καμπύλη 2:αντισώματα </w:t>
      </w:r>
    </w:p>
    <w:p w:rsidR="00FF410F" w:rsidRPr="00576641" w:rsidRDefault="00FF410F" w:rsidP="00FF41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F410F">
        <w:rPr>
          <w:rFonts w:asciiTheme="minorHAnsi" w:hAnsiTheme="minorHAnsi" w:cstheme="minorHAnsi"/>
          <w:sz w:val="22"/>
          <w:szCs w:val="22"/>
        </w:rPr>
        <w:t>Τα οποία είναι τα ειδικά κυτταρικά προϊόντα που παράγει ο οργανισμός ενάντια στην είσοδο ξένων αντιγόνων.</w:t>
      </w:r>
    </w:p>
    <w:p w:rsidR="00576641" w:rsidRPr="00FF410F" w:rsidRDefault="00FF410F" w:rsidP="00576641">
      <w:pPr>
        <w:jc w:val="both"/>
        <w:rPr>
          <w:rFonts w:cstheme="minorHAnsi"/>
          <w:color w:val="000000"/>
        </w:rPr>
      </w:pPr>
      <w:r w:rsidRPr="00FF410F">
        <w:rPr>
          <w:rFonts w:cstheme="minorHAnsi"/>
          <w:color w:val="000000"/>
        </w:rPr>
        <w:t xml:space="preserve">Η μόλυνση προηγείται της ανοσοβιολογικής απόκρισης. </w:t>
      </w:r>
      <w:r w:rsidR="00576641" w:rsidRPr="00FF410F">
        <w:rPr>
          <w:rFonts w:cstheme="minorHAnsi"/>
          <w:color w:val="000000"/>
        </w:rPr>
        <w:t xml:space="preserve">Κατά την πρωτογενή ανοσοβιολογική απόκριση, απαιτείται η πάροδος σημαντικού χρονικού διαστήματος, από τη χρονική στιγμή της μόλυνσης, μέχρι να επιτευχθεί παραγωγή επαρκών ποσοτήτων αντισώματος, για την αποτελεσματική αντιμετώπιση του αντιγόνου, διότι ο οργανισμός δε διαθέτει ακόμα Τ- και Β- λεμφοκύτταρα μνήμης. Αυτό γιατί πρέπει να μεσολαβήσει μία σειρά γεγονότων: </w:t>
      </w:r>
      <w:r w:rsidRPr="00FF410F">
        <w:rPr>
          <w:rFonts w:cstheme="minorHAnsi"/>
          <w:color w:val="000000"/>
        </w:rPr>
        <w:t xml:space="preserve"> </w:t>
      </w:r>
      <w:r w:rsidR="00576641" w:rsidRPr="00FF410F">
        <w:rPr>
          <w:rFonts w:cstheme="minorHAnsi"/>
          <w:color w:val="000000"/>
        </w:rPr>
        <w:t xml:space="preserve">Σελ. 37-38, «Η πρωτογενής….εξουδετερώνουν». </w:t>
      </w:r>
    </w:p>
    <w:p w:rsidR="00576641" w:rsidRPr="00FF410F" w:rsidRDefault="00576641" w:rsidP="00576641">
      <w:pPr>
        <w:jc w:val="both"/>
        <w:rPr>
          <w:rFonts w:cstheme="minorHAnsi"/>
        </w:rPr>
      </w:pPr>
      <w:r w:rsidRPr="00FF410F">
        <w:rPr>
          <w:rFonts w:cstheme="minorHAnsi"/>
          <w:color w:val="000000"/>
        </w:rPr>
        <w:t xml:space="preserve">Μέχρι να επιτευχθεί σημαντική παραγωγή αντισωμάτων, ο παθογόνος μικροοργανισμός-αντιγόνο πολλαπλασιάζεται και αυξάνεται σε αριθμό, ενώ εμφανίζονται τα συμπτώματα της ασθένειας. Μετά την παραγωγή αντισωμάτων, το αντιγόνο εξουδετερώνεται και εξαφανίζεται από τον οργανισμό του ασθενούς. </w:t>
      </w:r>
      <w:r w:rsidR="00FF410F" w:rsidRPr="00FF410F">
        <w:rPr>
          <w:rFonts w:cstheme="minorHAnsi"/>
          <w:color w:val="000000"/>
        </w:rPr>
        <w:t>Σε συμφωνία με τα παραπάνω, η καμπύλη 2 των αντισωμάτων</w:t>
      </w:r>
      <w:r w:rsidRPr="00FF410F">
        <w:rPr>
          <w:rFonts w:cstheme="minorHAnsi"/>
          <w:color w:val="000000"/>
        </w:rPr>
        <w:t xml:space="preserve"> η αρχίζει να αυξάνεται αρκετά μετά τη χρονική στιγμή της μόλυνσης. Αντίθετα, η καμπύλη 1</w:t>
      </w:r>
      <w:r w:rsidR="00FF410F" w:rsidRPr="00FF410F">
        <w:rPr>
          <w:rFonts w:cstheme="minorHAnsi"/>
          <w:color w:val="000000"/>
        </w:rPr>
        <w:t xml:space="preserve"> των αντιγόνων </w:t>
      </w:r>
      <w:r w:rsidRPr="00FF410F">
        <w:rPr>
          <w:rFonts w:cstheme="minorHAnsi"/>
          <w:color w:val="000000"/>
        </w:rPr>
        <w:t>εμφανίζει αύξηση από τη χρονική στιγμή της μόλυνσης, μέχρι να αρχίσουν να παράγονται αντισώματα, ενώ μετά την παραγωγή τους μειώνεται και τελικά μηδενίζεται.</w:t>
      </w:r>
      <w:r w:rsidRPr="00FF410F">
        <w:rPr>
          <w:rFonts w:cstheme="minorHAnsi"/>
        </w:rPr>
        <w:t xml:space="preserve"> </w:t>
      </w:r>
    </w:p>
    <w:sectPr w:rsidR="00576641" w:rsidRPr="00FF41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91"/>
    <w:rsid w:val="002477DB"/>
    <w:rsid w:val="00576641"/>
    <w:rsid w:val="006A14EE"/>
    <w:rsid w:val="00851F8A"/>
    <w:rsid w:val="00852D91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BDCB"/>
  <w15:chartTrackingRefBased/>
  <w15:docId w15:val="{850922B7-E25C-4BDB-93CF-4FF9BE06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Angelaki</dc:creator>
  <cp:keywords/>
  <dc:description/>
  <cp:lastModifiedBy>Angelaki</cp:lastModifiedBy>
  <cp:revision>2</cp:revision>
  <dcterms:created xsi:type="dcterms:W3CDTF">2018-02-02T17:58:00Z</dcterms:created>
  <dcterms:modified xsi:type="dcterms:W3CDTF">2018-02-02T18:52:00Z</dcterms:modified>
</cp:coreProperties>
</file>